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83FE2" w:rsidRPr="00E956B7" w:rsidRDefault="000E1EB0">
      <w:pPr>
        <w:spacing w:after="240"/>
        <w:jc w:val="center"/>
        <w:rPr>
          <w:u w:val="single"/>
        </w:rPr>
      </w:pPr>
      <w:r>
        <w:rPr>
          <w:b/>
          <w:sz w:val="28"/>
          <w:szCs w:val="28"/>
          <w:u w:val="single"/>
        </w:rPr>
        <w:t>Syndikatavtal för Eurojackpot</w:t>
      </w:r>
    </w:p>
    <w:p w:rsidR="00083FE2" w:rsidRDefault="000E1EB0">
      <w:r>
        <w:rPr>
          <w:sz w:val="24"/>
          <w:szCs w:val="24"/>
        </w:rPr>
        <w:t xml:space="preserve"> </w:t>
      </w:r>
    </w:p>
    <w:p w:rsidR="00083FE2" w:rsidRDefault="000E1EB0">
      <w:r>
        <w:rPr>
          <w:b/>
        </w:rPr>
        <w:t>Syndikatschef</w:t>
      </w:r>
      <w:r>
        <w:rPr>
          <w:b/>
          <w:color w:val="1F497D"/>
        </w:rPr>
        <w:t>:</w:t>
      </w:r>
      <w:r>
        <w:rPr>
          <w:b/>
          <w:color w:val="FF0000"/>
        </w:rPr>
        <w:t xml:space="preserve"> </w:t>
      </w:r>
    </w:p>
    <w:p w:rsidR="00083FE2" w:rsidRDefault="000E1EB0">
      <w:r>
        <w:rPr>
          <w:b/>
          <w:color w:val="FF0000"/>
        </w:rPr>
        <w:t xml:space="preserve"> </w:t>
      </w:r>
    </w:p>
    <w:p w:rsidR="00083FE2" w:rsidRDefault="000E1EB0">
      <w:r>
        <w:rPr>
          <w:b/>
        </w:rPr>
        <w:t>Kontaktuppgifter:</w:t>
      </w:r>
    </w:p>
    <w:p w:rsidR="00083FE2" w:rsidRDefault="000E1EB0">
      <w:r>
        <w:rPr>
          <w:sz w:val="24"/>
          <w:szCs w:val="24"/>
        </w:rPr>
        <w:t xml:space="preserve"> </w:t>
      </w:r>
    </w:p>
    <w:p w:rsidR="00083FE2" w:rsidRDefault="000E1EB0">
      <w:r>
        <w:rPr>
          <w:b/>
        </w:rPr>
        <w:t xml:space="preserve">Startdatum:  </w:t>
      </w:r>
      <w:r>
        <w:t xml:space="preserve">                            </w:t>
      </w:r>
      <w:r>
        <w:tab/>
        <w:t xml:space="preserve">         </w:t>
      </w:r>
      <w:r>
        <w:rPr>
          <w:b/>
        </w:rPr>
        <w:t>Slutdatum:</w:t>
      </w:r>
    </w:p>
    <w:p w:rsidR="00083FE2" w:rsidRDefault="000E1EB0">
      <w:r>
        <w:rPr>
          <w:sz w:val="24"/>
          <w:szCs w:val="24"/>
        </w:rPr>
        <w:t xml:space="preserve"> </w:t>
      </w:r>
    </w:p>
    <w:p w:rsidR="00083FE2" w:rsidRDefault="000E1EB0">
      <w:r>
        <w:t>Spelare [namn, kontaktuppgifter, underskrifter, valda Eurojackpot-nummer (om tillämpligt)]:</w:t>
      </w:r>
    </w:p>
    <w:p w:rsidR="00083FE2" w:rsidRDefault="000E1EB0">
      <w:pPr>
        <w:jc w:val="center"/>
      </w:pPr>
      <w:r>
        <w:rPr>
          <w:b/>
          <w:sz w:val="24"/>
          <w:szCs w:val="24"/>
        </w:rPr>
        <w:t xml:space="preserve"> </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16"/>
        <w:gridCol w:w="2375"/>
        <w:gridCol w:w="2152"/>
        <w:gridCol w:w="2182"/>
      </w:tblGrid>
      <w:tr w:rsidR="00083FE2">
        <w:tc>
          <w:tcPr>
            <w:tcW w:w="2315" w:type="dxa"/>
            <w:tcBorders>
              <w:top w:val="single" w:sz="8" w:space="0" w:color="4F81BD"/>
              <w:lef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Namn</w:t>
            </w:r>
          </w:p>
        </w:tc>
        <w:tc>
          <w:tcPr>
            <w:tcW w:w="2375" w:type="dxa"/>
            <w:tcBorders>
              <w:top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Kontaktuppgifter</w:t>
            </w:r>
          </w:p>
        </w:tc>
        <w:tc>
          <w:tcPr>
            <w:tcW w:w="2152" w:type="dxa"/>
            <w:tcBorders>
              <w:top w:val="single" w:sz="8" w:space="0" w:color="4F81BD"/>
            </w:tcBorders>
            <w:shd w:val="clear" w:color="auto" w:fill="4F81BD"/>
            <w:tcMar>
              <w:top w:w="100" w:type="dxa"/>
              <w:left w:w="100" w:type="dxa"/>
              <w:bottom w:w="100" w:type="dxa"/>
              <w:right w:w="100" w:type="dxa"/>
            </w:tcMar>
          </w:tcPr>
          <w:p w:rsidR="00083FE2" w:rsidRDefault="00551FCE">
            <w:pPr>
              <w:jc w:val="center"/>
            </w:pPr>
            <w:r>
              <w:rPr>
                <w:b/>
                <w:color w:val="FFFFFF"/>
                <w:shd w:val="clear" w:color="auto" w:fill="4F81BD"/>
              </w:rPr>
              <w:t>Eurojackpot-nummer</w:t>
            </w:r>
          </w:p>
        </w:tc>
        <w:tc>
          <w:tcPr>
            <w:tcW w:w="2182" w:type="dxa"/>
            <w:tcBorders>
              <w:top w:val="single" w:sz="8" w:space="0" w:color="4F81BD"/>
              <w:right w:val="single" w:sz="8" w:space="0" w:color="4F81BD"/>
            </w:tcBorders>
            <w:shd w:val="clear" w:color="auto" w:fill="4F81BD"/>
            <w:tcMar>
              <w:top w:w="100" w:type="dxa"/>
              <w:left w:w="100" w:type="dxa"/>
              <w:bottom w:w="100" w:type="dxa"/>
              <w:right w:w="100" w:type="dxa"/>
            </w:tcMar>
          </w:tcPr>
          <w:p w:rsidR="00083FE2" w:rsidRDefault="000E1EB0">
            <w:pPr>
              <w:jc w:val="center"/>
            </w:pPr>
            <w:r>
              <w:rPr>
                <w:b/>
                <w:color w:val="FFFFFF"/>
                <w:shd w:val="clear" w:color="auto" w:fill="4F81BD"/>
              </w:rPr>
              <w:t>Underskrift</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left w:val="single" w:sz="8" w:space="0" w:color="4F81BD"/>
            </w:tcBorders>
            <w:tcMar>
              <w:top w:w="100" w:type="dxa"/>
              <w:left w:w="100" w:type="dxa"/>
              <w:bottom w:w="100" w:type="dxa"/>
              <w:right w:w="100" w:type="dxa"/>
            </w:tcMar>
          </w:tcPr>
          <w:p w:rsidR="00083FE2" w:rsidRDefault="000E1EB0">
            <w:r>
              <w:rPr>
                <w:b/>
              </w:rPr>
              <w:t xml:space="preserve"> </w:t>
            </w:r>
          </w:p>
        </w:tc>
        <w:tc>
          <w:tcPr>
            <w:tcW w:w="2375" w:type="dxa"/>
            <w:tcMar>
              <w:top w:w="100" w:type="dxa"/>
              <w:left w:w="100" w:type="dxa"/>
              <w:bottom w:w="100" w:type="dxa"/>
              <w:right w:w="100" w:type="dxa"/>
            </w:tcMar>
          </w:tcPr>
          <w:p w:rsidR="00083FE2" w:rsidRDefault="000E1EB0">
            <w:r>
              <w:t xml:space="preserve"> </w:t>
            </w:r>
          </w:p>
        </w:tc>
        <w:tc>
          <w:tcPr>
            <w:tcW w:w="2152" w:type="dxa"/>
            <w:tcMar>
              <w:top w:w="100" w:type="dxa"/>
              <w:left w:w="100" w:type="dxa"/>
              <w:bottom w:w="100" w:type="dxa"/>
              <w:right w:w="100" w:type="dxa"/>
            </w:tcMar>
          </w:tcPr>
          <w:p w:rsidR="00083FE2" w:rsidRDefault="000E1EB0">
            <w:r>
              <w:t xml:space="preserve"> </w:t>
            </w:r>
          </w:p>
        </w:tc>
        <w:tc>
          <w:tcPr>
            <w:tcW w:w="2182" w:type="dxa"/>
            <w:tcBorders>
              <w:right w:val="single" w:sz="8" w:space="0" w:color="4F81BD"/>
            </w:tcBorders>
            <w:tcMar>
              <w:top w:w="100" w:type="dxa"/>
              <w:left w:w="100" w:type="dxa"/>
              <w:bottom w:w="100" w:type="dxa"/>
              <w:right w:w="100" w:type="dxa"/>
            </w:tcMar>
          </w:tcPr>
          <w:p w:rsidR="00083FE2" w:rsidRDefault="000E1EB0">
            <w:r>
              <w:t xml:space="preserve"> </w:t>
            </w:r>
          </w:p>
        </w:tc>
      </w:tr>
      <w:tr w:rsidR="00083FE2">
        <w:tc>
          <w:tcPr>
            <w:tcW w:w="2315" w:type="dxa"/>
            <w:tcBorders>
              <w:top w:val="single" w:sz="8" w:space="0" w:color="4F81BD"/>
              <w:left w:val="single" w:sz="8" w:space="0" w:color="4F81BD"/>
              <w:bottom w:val="single" w:sz="8" w:space="0" w:color="4F81BD"/>
            </w:tcBorders>
            <w:tcMar>
              <w:top w:w="100" w:type="dxa"/>
              <w:left w:w="100" w:type="dxa"/>
              <w:bottom w:w="100" w:type="dxa"/>
              <w:right w:w="100" w:type="dxa"/>
            </w:tcMar>
          </w:tcPr>
          <w:p w:rsidR="00083FE2" w:rsidRDefault="000E1EB0">
            <w:r>
              <w:rPr>
                <w:b/>
              </w:rPr>
              <w:t xml:space="preserve"> </w:t>
            </w:r>
          </w:p>
        </w:tc>
        <w:tc>
          <w:tcPr>
            <w:tcW w:w="2375"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52" w:type="dxa"/>
            <w:tcBorders>
              <w:top w:val="single" w:sz="8" w:space="0" w:color="4F81BD"/>
              <w:bottom w:val="single" w:sz="8" w:space="0" w:color="4F81BD"/>
            </w:tcBorders>
            <w:tcMar>
              <w:top w:w="100" w:type="dxa"/>
              <w:left w:w="100" w:type="dxa"/>
              <w:bottom w:w="100" w:type="dxa"/>
              <w:right w:w="100" w:type="dxa"/>
            </w:tcMar>
          </w:tcPr>
          <w:p w:rsidR="00083FE2" w:rsidRDefault="000E1EB0">
            <w:r>
              <w:t xml:space="preserve"> </w:t>
            </w:r>
          </w:p>
        </w:tc>
        <w:tc>
          <w:tcPr>
            <w:tcW w:w="2182" w:type="dxa"/>
            <w:tcBorders>
              <w:top w:val="single" w:sz="8" w:space="0" w:color="4F81BD"/>
              <w:bottom w:val="single" w:sz="8" w:space="0" w:color="4F81BD"/>
              <w:right w:val="single" w:sz="8" w:space="0" w:color="4F81BD"/>
            </w:tcBorders>
            <w:tcMar>
              <w:top w:w="100" w:type="dxa"/>
              <w:left w:w="100" w:type="dxa"/>
              <w:bottom w:w="100" w:type="dxa"/>
              <w:right w:w="100" w:type="dxa"/>
            </w:tcMar>
          </w:tcPr>
          <w:p w:rsidR="00083FE2" w:rsidRDefault="000E1EB0">
            <w:r>
              <w:t xml:space="preserve"> </w:t>
            </w:r>
          </w:p>
        </w:tc>
      </w:tr>
    </w:tbl>
    <w:p w:rsidR="00083FE2" w:rsidRDefault="00083FE2"/>
    <w:p w:rsidR="00083FE2" w:rsidRDefault="000E1EB0">
      <w:pPr>
        <w:numPr>
          <w:ilvl w:val="0"/>
          <w:numId w:val="2"/>
        </w:numPr>
        <w:ind w:hanging="360"/>
        <w:contextualSpacing/>
      </w:pPr>
      <w:r>
        <w:t xml:space="preserve">Syndikatsmedlemmarna samtycker till att betala </w:t>
      </w:r>
      <w:r>
        <w:rPr>
          <w:b/>
        </w:rPr>
        <w:t xml:space="preserve">_________ </w:t>
      </w:r>
      <w:r>
        <w:t>euro per Eurojackpot-dragning.</w:t>
      </w:r>
    </w:p>
    <w:p w:rsidR="00083FE2" w:rsidRDefault="00083FE2"/>
    <w:p w:rsidR="00083FE2" w:rsidRDefault="000E1EB0">
      <w:pPr>
        <w:numPr>
          <w:ilvl w:val="0"/>
          <w:numId w:val="2"/>
        </w:numPr>
        <w:ind w:hanging="360"/>
        <w:contextualSpacing/>
      </w:pPr>
      <w:r>
        <w:t>Pengarna ska betalas in vid varje månads början och fastställs av mängden dragningar som syndikatet deltar i (exempelvis 8 euro om det är fyra dragningar och 10 euro om det är fem).</w:t>
      </w:r>
    </w:p>
    <w:p w:rsidR="00083FE2" w:rsidRDefault="00083FE2"/>
    <w:p w:rsidR="00083FE2" w:rsidRDefault="000E1EB0">
      <w:pPr>
        <w:numPr>
          <w:ilvl w:val="0"/>
          <w:numId w:val="2"/>
        </w:numPr>
        <w:ind w:hanging="360"/>
        <w:contextualSpacing/>
      </w:pPr>
      <w:r>
        <w:t>Syndikatschefen ska köpa alla lotter i god tid inför varje dragning.</w:t>
      </w:r>
    </w:p>
    <w:p w:rsidR="00083FE2" w:rsidRDefault="00083FE2"/>
    <w:p w:rsidR="00083FE2" w:rsidRDefault="000E1EB0">
      <w:pPr>
        <w:numPr>
          <w:ilvl w:val="0"/>
          <w:numId w:val="2"/>
        </w:numPr>
        <w:ind w:hanging="360"/>
        <w:contextualSpacing/>
      </w:pPr>
      <w:r>
        <w:t xml:space="preserve">Medlemmar som inte har betalat in pengarna de är skyldiga innan lotterna köps </w:t>
      </w:r>
      <w:r>
        <w:rPr>
          <w:color w:val="0F243E"/>
          <w:highlight w:val="yellow"/>
        </w:rPr>
        <w:t>[tillåts de fortsätta spela och deras deltagande finansieras genom ömsesidig överenskommelse om att de kommer att betala snarast möjligt]</w:t>
      </w:r>
      <w:r>
        <w:rPr>
          <w:color w:val="FF0000"/>
        </w:rPr>
        <w:t xml:space="preserve"> </w:t>
      </w:r>
      <w:r>
        <w:rPr>
          <w:b/>
        </w:rPr>
        <w:t xml:space="preserve">ELLER </w:t>
      </w:r>
      <w:r>
        <w:rPr>
          <w:color w:val="0F243E"/>
          <w:highlight w:val="yellow"/>
        </w:rPr>
        <w:t>[erhåller de inga vinster från dragningen/dragningarna som de inte betalat för i förväg och vinstpengarna kommer då att i stället fördelas mellan övriga syndikatmedlemmar]</w:t>
      </w:r>
      <w:r>
        <w:rPr>
          <w:color w:val="0F243E"/>
        </w:rPr>
        <w:t>.</w:t>
      </w:r>
    </w:p>
    <w:p w:rsidR="00083FE2" w:rsidRDefault="000E1EB0">
      <w:pPr>
        <w:ind w:left="720"/>
      </w:pPr>
      <w:r>
        <w:t xml:space="preserve"> </w:t>
      </w:r>
    </w:p>
    <w:p w:rsidR="00083FE2" w:rsidRDefault="000E1EB0">
      <w:pPr>
        <w:numPr>
          <w:ilvl w:val="0"/>
          <w:numId w:val="2"/>
        </w:numPr>
        <w:ind w:hanging="360"/>
        <w:contextualSpacing/>
      </w:pPr>
      <w:r>
        <w:rPr>
          <w:color w:val="0F243E"/>
          <w:highlight w:val="yellow"/>
        </w:rPr>
        <w:t>[Alla syndikatmedlemmar väljer en rad med nummer att spela på i varje dragning. Alla är införstådda med och överens om att vinsterna fördelas mellan alla medlemmar oberoende av vilken/vilka rader som ger vinst]</w:t>
      </w:r>
      <w:r>
        <w:t xml:space="preserve"> </w:t>
      </w:r>
      <w:r>
        <w:rPr>
          <w:b/>
        </w:rPr>
        <w:t xml:space="preserve">ELLER </w:t>
      </w:r>
      <w:r>
        <w:rPr>
          <w:highlight w:val="yellow"/>
        </w:rPr>
        <w:t>[Eurojackpot-nummer väljs med alternativet Snabbval]</w:t>
      </w:r>
    </w:p>
    <w:p w:rsidR="00083FE2" w:rsidRDefault="00083FE2"/>
    <w:p w:rsidR="00083FE2" w:rsidRDefault="000E1EB0">
      <w:pPr>
        <w:numPr>
          <w:ilvl w:val="0"/>
          <w:numId w:val="2"/>
        </w:numPr>
        <w:ind w:hanging="360"/>
        <w:contextualSpacing/>
      </w:pPr>
      <w:r>
        <w:lastRenderedPageBreak/>
        <w:t xml:space="preserve">Syndikatschefen köper lotter </w:t>
      </w:r>
      <w:r>
        <w:rPr>
          <w:highlight w:val="yellow"/>
        </w:rPr>
        <w:t>[i auktoriserad butik]</w:t>
      </w:r>
      <w:r>
        <w:t xml:space="preserve"> </w:t>
      </w:r>
      <w:r>
        <w:rPr>
          <w:b/>
        </w:rPr>
        <w:t>ELLER</w:t>
      </w:r>
      <w:r>
        <w:t xml:space="preserve"> </w:t>
      </w:r>
      <w:r>
        <w:rPr>
          <w:highlight w:val="yellow"/>
        </w:rPr>
        <w:t>[online]</w:t>
      </w:r>
      <w:r>
        <w:t>.</w:t>
      </w:r>
    </w:p>
    <w:p w:rsidR="00083FE2" w:rsidRDefault="00083FE2"/>
    <w:p w:rsidR="00083FE2" w:rsidRDefault="000E1EB0">
      <w:pPr>
        <w:numPr>
          <w:ilvl w:val="0"/>
          <w:numId w:val="2"/>
        </w:numPr>
        <w:ind w:hanging="360"/>
        <w:contextualSpacing/>
      </w:pPr>
      <w:r>
        <w:t>Någon annan medlem i syndikatet ska oberoende kontrollera alla lotter efter varje dragning.</w:t>
      </w:r>
    </w:p>
    <w:p w:rsidR="00083FE2" w:rsidRDefault="00083FE2"/>
    <w:p w:rsidR="00083FE2" w:rsidRDefault="000E1EB0">
      <w:pPr>
        <w:numPr>
          <w:ilvl w:val="0"/>
          <w:numId w:val="2"/>
        </w:numPr>
        <w:ind w:hanging="360"/>
        <w:contextualSpacing/>
      </w:pPr>
      <w:r>
        <w:t>Syndikatmedlemmar måste delta under en minsta period på ______ månad(er) med start och slut på angivna datum.</w:t>
      </w:r>
    </w:p>
    <w:p w:rsidR="00083FE2" w:rsidRDefault="00083FE2"/>
    <w:p w:rsidR="00083FE2" w:rsidRDefault="000E1EB0">
      <w:pPr>
        <w:numPr>
          <w:ilvl w:val="0"/>
          <w:numId w:val="2"/>
        </w:numPr>
        <w:ind w:hanging="360"/>
        <w:contextualSpacing/>
      </w:pPr>
      <w:r>
        <w:t>I slutet av _______-månadsperioden får alla syndikatmedlemmar lika stor andel av eventuella vinster som har ackumulerats under tidsperioden. Enda undantaget är om vinsterna är lika med eller större än _______ euro per medlem då pengarna betalas ut omedelbart eller snarast möjligt.</w:t>
      </w:r>
    </w:p>
    <w:p w:rsidR="00083FE2" w:rsidRDefault="00083FE2"/>
    <w:p w:rsidR="00083FE2" w:rsidRDefault="000E1EB0">
      <w:pPr>
        <w:numPr>
          <w:ilvl w:val="0"/>
          <w:numId w:val="2"/>
        </w:numPr>
        <w:ind w:hanging="360"/>
        <w:contextualSpacing/>
      </w:pPr>
      <w:r>
        <w:t xml:space="preserve">Syndikatschefen bekräftar att det finns en laglig skyldighet att överföra alla vinster direkt till </w:t>
      </w:r>
      <w:r>
        <w:rPr>
          <w:highlight w:val="yellow"/>
        </w:rPr>
        <w:t>[syndikatmedlemmarna]</w:t>
      </w:r>
      <w:r>
        <w:t xml:space="preserve"> </w:t>
      </w:r>
      <w:r>
        <w:rPr>
          <w:b/>
        </w:rPr>
        <w:t>ELLER</w:t>
      </w:r>
      <w:r>
        <w:t xml:space="preserve"> </w:t>
      </w:r>
      <w:r>
        <w:rPr>
          <w:highlight w:val="yellow"/>
        </w:rPr>
        <w:t>[en gemensam syndikatsfond]</w:t>
      </w:r>
      <w:r>
        <w:t xml:space="preserve"> vid överenskommen tid.</w:t>
      </w:r>
    </w:p>
    <w:p w:rsidR="00083FE2" w:rsidRDefault="00083FE2"/>
    <w:p w:rsidR="00083FE2" w:rsidRDefault="000E1EB0">
      <w:pPr>
        <w:numPr>
          <w:ilvl w:val="0"/>
          <w:numId w:val="2"/>
        </w:numPr>
        <w:ind w:hanging="360"/>
        <w:contextualSpacing/>
      </w:pPr>
      <w:r>
        <w:t>Om någon medlem måste lämna syndikatet på grund av ändrade yttre förutsättningar erhåller medlemmen sin del av de vinster som de har innestående vid tidpunkten för lämnandet. De får även tillbaka de pengar för lottbetalningar som de har betalat in i förväg för framtida dragningar där de inte kommer att medverka i syndikatet. Vinster från denna tidpunkt kommer att fördelas mellan kvarvarande syndikatmedlemmar och personen som lämnar bekräftar att denne inte gör några anspråk på syndikatvinster efter att denne har lämnat syndikatet.</w:t>
      </w:r>
    </w:p>
    <w:p w:rsidR="00083FE2" w:rsidRDefault="00083FE2"/>
    <w:p w:rsidR="00083FE2" w:rsidRDefault="000E1EB0">
      <w:pPr>
        <w:numPr>
          <w:ilvl w:val="0"/>
          <w:numId w:val="2"/>
        </w:numPr>
        <w:ind w:hanging="360"/>
        <w:contextualSpacing/>
      </w:pPr>
      <w:r>
        <w:t xml:space="preserve">Syndikatet kan köpa extra lotter till speciella dragningar från fall till fall efter överenskommelse med </w:t>
      </w:r>
      <w:r>
        <w:rPr>
          <w:highlight w:val="yellow"/>
        </w:rPr>
        <w:t>[alla medlemmar]</w:t>
      </w:r>
      <w:r>
        <w:t xml:space="preserve"> </w:t>
      </w:r>
      <w:r>
        <w:rPr>
          <w:b/>
        </w:rPr>
        <w:t xml:space="preserve">ELLER </w:t>
      </w:r>
      <w:r>
        <w:rPr>
          <w:highlight w:val="yellow"/>
        </w:rPr>
        <w:t>[majoriteten av medlemmarna]</w:t>
      </w:r>
      <w:r>
        <w:t>.</w:t>
      </w:r>
    </w:p>
    <w:p w:rsidR="00083FE2" w:rsidRDefault="00083FE2"/>
    <w:p w:rsidR="00083FE2" w:rsidRDefault="000E1EB0">
      <w:pPr>
        <w:numPr>
          <w:ilvl w:val="0"/>
          <w:numId w:val="2"/>
        </w:numPr>
        <w:ind w:hanging="360"/>
        <w:contextualSpacing/>
      </w:pPr>
      <w:r>
        <w:t>Samtliga syndikatmedlemmar måste skriftligt godkänna beslut att vara offentliga efter någon större vinst. Syndikatmedlemmarna samtycker även till att inte lämna ut uppgifter om någon större vinst till tredje part om sådant avslöjande kan leda till att någon syndikatmedlem, någon i dennes familj eller dennes arbetsgivare kan identifieras.</w:t>
      </w:r>
    </w:p>
    <w:p w:rsidR="00083FE2" w:rsidRDefault="00083FE2"/>
    <w:p w:rsidR="00083FE2" w:rsidRDefault="000E1EB0">
      <w:pPr>
        <w:numPr>
          <w:ilvl w:val="0"/>
          <w:numId w:val="2"/>
        </w:numPr>
        <w:ind w:hanging="360"/>
        <w:contextualSpacing/>
      </w:pPr>
      <w:r>
        <w:t>Alla syndikatmedlemmar kan när som helst begära information om saldo för syndikatets medel.</w:t>
      </w:r>
    </w:p>
    <w:p w:rsidR="00083FE2" w:rsidRDefault="00083FE2"/>
    <w:p w:rsidR="00083FE2" w:rsidRDefault="000E1EB0">
      <w:pPr>
        <w:numPr>
          <w:ilvl w:val="0"/>
          <w:numId w:val="2"/>
        </w:numPr>
        <w:ind w:hanging="360"/>
        <w:contextualSpacing/>
      </w:pPr>
      <w:r>
        <w:t>Syndikatet ska avslutas om antal medlemmar skulle sjunka under ____ spelare då eventuella vinstpengar ska fördelas lika mellan medlemmarna.</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pPr>
        <w:spacing w:after="240"/>
      </w:pPr>
      <w:r>
        <w:rPr>
          <w:sz w:val="24"/>
          <w:szCs w:val="24"/>
        </w:rPr>
        <w:t xml:space="preserve"> </w:t>
      </w:r>
    </w:p>
    <w:p w:rsidR="00083FE2" w:rsidRDefault="000E1EB0" w:rsidP="00771543">
      <w:pPr>
        <w:spacing w:after="240"/>
      </w:pPr>
      <w:bookmarkStart w:id="0" w:name="_GoBack"/>
      <w:bookmarkEnd w:id="0"/>
      <w:r>
        <w:rPr>
          <w:b/>
          <w:sz w:val="20"/>
          <w:szCs w:val="20"/>
        </w:rPr>
        <w:lastRenderedPageBreak/>
        <w:t>FRISKRIVNING: Detta exempel på syndikatavtal är ENDAST i informationssyfte och Euro-Jackpot.net har inget ansvar eller skyldigheter för några förluster som skulle kunna uppkomma på grund av användning av utkastet, varken i dess helhet eller delar därav.</w:t>
      </w:r>
    </w:p>
    <w:p w:rsidR="00083FE2" w:rsidRDefault="00083FE2"/>
    <w:sectPr w:rsidR="00083FE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C58EB"/>
    <w:multiLevelType w:val="multilevel"/>
    <w:tmpl w:val="070A88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6BAD29E2"/>
    <w:multiLevelType w:val="multilevel"/>
    <w:tmpl w:val="0DAE48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compat>
    <w:compatSetting w:name="compatibilityMode" w:uri="http://schemas.microsoft.com/office/word" w:val="14"/>
  </w:compat>
  <w:rsids>
    <w:rsidRoot w:val="00083FE2"/>
    <w:rsid w:val="00083FE2"/>
    <w:rsid w:val="000E1EB0"/>
    <w:rsid w:val="00132069"/>
    <w:rsid w:val="00133A50"/>
    <w:rsid w:val="001A7C34"/>
    <w:rsid w:val="002E3CD9"/>
    <w:rsid w:val="003E19F1"/>
    <w:rsid w:val="00551FCE"/>
    <w:rsid w:val="006565CB"/>
    <w:rsid w:val="00771543"/>
    <w:rsid w:val="00774858"/>
    <w:rsid w:val="008B709B"/>
    <w:rsid w:val="00A57C90"/>
    <w:rsid w:val="00AD5EBA"/>
    <w:rsid w:val="00E95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02CA9-012B-4CB9-A66B-95D0ED06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sv-SE"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AD5EBA"/>
    <w:rPr>
      <w:sz w:val="16"/>
      <w:szCs w:val="16"/>
    </w:rPr>
  </w:style>
  <w:style w:type="paragraph" w:styleId="CommentText">
    <w:name w:val="annotation text"/>
    <w:basedOn w:val="Normal"/>
    <w:link w:val="CommentTextChar"/>
    <w:uiPriority w:val="99"/>
    <w:semiHidden/>
    <w:unhideWhenUsed/>
    <w:rsid w:val="00AD5EBA"/>
    <w:pPr>
      <w:spacing w:line="240" w:lineRule="auto"/>
    </w:pPr>
    <w:rPr>
      <w:sz w:val="20"/>
      <w:szCs w:val="20"/>
    </w:rPr>
  </w:style>
  <w:style w:type="character" w:customStyle="1" w:styleId="CommentTextChar">
    <w:name w:val="Comment Text Char"/>
    <w:basedOn w:val="DefaultParagraphFont"/>
    <w:link w:val="CommentText"/>
    <w:uiPriority w:val="99"/>
    <w:semiHidden/>
    <w:rsid w:val="00AD5EBA"/>
    <w:rPr>
      <w:sz w:val="20"/>
      <w:szCs w:val="20"/>
    </w:rPr>
  </w:style>
  <w:style w:type="paragraph" w:styleId="CommentSubject">
    <w:name w:val="annotation subject"/>
    <w:basedOn w:val="CommentText"/>
    <w:next w:val="CommentText"/>
    <w:link w:val="CommentSubjectChar"/>
    <w:uiPriority w:val="99"/>
    <w:semiHidden/>
    <w:unhideWhenUsed/>
    <w:rsid w:val="00AD5EBA"/>
    <w:rPr>
      <w:b/>
      <w:bCs/>
    </w:rPr>
  </w:style>
  <w:style w:type="character" w:customStyle="1" w:styleId="CommentSubjectChar">
    <w:name w:val="Comment Subject Char"/>
    <w:basedOn w:val="CommentTextChar"/>
    <w:link w:val="CommentSubject"/>
    <w:uiPriority w:val="99"/>
    <w:semiHidden/>
    <w:rsid w:val="00AD5EBA"/>
    <w:rPr>
      <w:b/>
      <w:bCs/>
      <w:sz w:val="20"/>
      <w:szCs w:val="20"/>
    </w:rPr>
  </w:style>
  <w:style w:type="paragraph" w:styleId="BalloonText">
    <w:name w:val="Balloon Text"/>
    <w:basedOn w:val="Normal"/>
    <w:link w:val="BalloonTextChar"/>
    <w:uiPriority w:val="99"/>
    <w:semiHidden/>
    <w:unhideWhenUsed/>
    <w:rsid w:val="00AD5E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EBA"/>
    <w:rPr>
      <w:rFonts w:ascii="Tahoma" w:hAnsi="Tahoma" w:cs="Tahoma"/>
      <w:sz w:val="16"/>
      <w:szCs w:val="16"/>
    </w:rPr>
  </w:style>
  <w:style w:type="paragraph" w:styleId="Revision">
    <w:name w:val="Revision"/>
    <w:hidden/>
    <w:uiPriority w:val="99"/>
    <w:semiHidden/>
    <w:rsid w:val="00A57C90"/>
    <w:pPr>
      <w:spacing w:line="240" w:lineRule="auto"/>
    </w:pPr>
  </w:style>
  <w:style w:type="table" w:styleId="TableGrid">
    <w:name w:val="Table Grid"/>
    <w:basedOn w:val="TableNormal"/>
    <w:uiPriority w:val="59"/>
    <w:rsid w:val="003E19F1"/>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Beznosov</cp:lastModifiedBy>
  <cp:revision>13</cp:revision>
  <dcterms:created xsi:type="dcterms:W3CDTF">2016-03-24T15:15:00Z</dcterms:created>
  <dcterms:modified xsi:type="dcterms:W3CDTF">2016-11-09T11:14:00Z</dcterms:modified>
</cp:coreProperties>
</file>