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3FE2" w:rsidRPr="00E956B7" w:rsidRDefault="000E1EB0">
      <w:pPr>
        <w:spacing w:after="240"/>
        <w:jc w:val="center"/>
        <w:rPr>
          <w:u w:val="single"/>
        </w:rPr>
      </w:pPr>
      <w:bookmarkStart w:id="0" w:name="_GoBack"/>
      <w:bookmarkEnd w:id="0"/>
      <w:r>
        <w:rPr>
          <w:b/>
          <w:sz w:val="28"/>
          <w:szCs w:val="28"/>
          <w:u w:val="single"/>
        </w:rPr>
        <w:t>„Eurojackpot“ sindikato sutartis</w:t>
      </w:r>
    </w:p>
    <w:p w:rsidR="00083FE2" w:rsidRDefault="000E1EB0">
      <w:r>
        <w:rPr>
          <w:sz w:val="24"/>
          <w:szCs w:val="24"/>
        </w:rPr>
        <w:t xml:space="preserve"> </w:t>
      </w:r>
    </w:p>
    <w:p w:rsidR="00083FE2" w:rsidRDefault="000E1EB0">
      <w:r>
        <w:rPr>
          <w:b/>
        </w:rPr>
        <w:t>Sindikato vadovas:</w:t>
      </w:r>
      <w:r>
        <w:rPr>
          <w:b/>
          <w:color w:val="FF0000"/>
        </w:rPr>
        <w:t xml:space="preserve"> </w:t>
      </w:r>
    </w:p>
    <w:p w:rsidR="00083FE2" w:rsidRDefault="000E1EB0">
      <w:r>
        <w:rPr>
          <w:b/>
          <w:color w:val="FF0000"/>
        </w:rPr>
        <w:t xml:space="preserve"> </w:t>
      </w:r>
    </w:p>
    <w:p w:rsidR="00083FE2" w:rsidRDefault="000E1EB0">
      <w:r>
        <w:rPr>
          <w:b/>
        </w:rPr>
        <w:t>Kontaktiniai duomenys:</w:t>
      </w:r>
    </w:p>
    <w:p w:rsidR="00083FE2" w:rsidRDefault="000E1EB0">
      <w:r>
        <w:rPr>
          <w:sz w:val="24"/>
          <w:szCs w:val="24"/>
        </w:rPr>
        <w:t xml:space="preserve"> </w:t>
      </w:r>
    </w:p>
    <w:p w:rsidR="00083FE2" w:rsidRDefault="000E1EB0">
      <w:r>
        <w:rPr>
          <w:b/>
        </w:rPr>
        <w:t xml:space="preserve">Pradžios data:  </w:t>
      </w:r>
      <w:r>
        <w:t xml:space="preserve">                            </w:t>
      </w:r>
      <w:r>
        <w:tab/>
        <w:t xml:space="preserve">         </w:t>
      </w:r>
      <w:r>
        <w:rPr>
          <w:b/>
        </w:rPr>
        <w:t>Pabaigos data:</w:t>
      </w:r>
    </w:p>
    <w:p w:rsidR="00083FE2" w:rsidRDefault="000E1EB0">
      <w:r>
        <w:rPr>
          <w:sz w:val="24"/>
          <w:szCs w:val="24"/>
        </w:rPr>
        <w:t xml:space="preserve"> </w:t>
      </w:r>
    </w:p>
    <w:p w:rsidR="00083FE2" w:rsidRDefault="000E1EB0">
      <w:r>
        <w:t>Žaidėjai [vardas, pavardė, kontaktiniai duomenys, parašas, pasirinkti „Eurojackpot“ skaičiai (jei taikoma)]:</w:t>
      </w:r>
    </w:p>
    <w:p w:rsidR="00083FE2" w:rsidRDefault="000E1EB0">
      <w:pPr>
        <w:jc w:val="center"/>
      </w:pPr>
      <w:r>
        <w:rPr>
          <w:b/>
          <w:sz w:val="24"/>
          <w:szCs w:val="24"/>
        </w:rPr>
        <w:t xml:space="preserve"> </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16"/>
        <w:gridCol w:w="2375"/>
        <w:gridCol w:w="2152"/>
        <w:gridCol w:w="2182"/>
      </w:tblGrid>
      <w:tr w:rsidR="00083FE2">
        <w:tc>
          <w:tcPr>
            <w:tcW w:w="2315" w:type="dxa"/>
            <w:tcBorders>
              <w:top w:val="single" w:sz="8" w:space="0" w:color="4F81BD"/>
              <w:left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Vardas, pavardė</w:t>
            </w:r>
          </w:p>
        </w:tc>
        <w:tc>
          <w:tcPr>
            <w:tcW w:w="2375" w:type="dxa"/>
            <w:tcBorders>
              <w:top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Kontaktiniai duomenys</w:t>
            </w:r>
          </w:p>
        </w:tc>
        <w:tc>
          <w:tcPr>
            <w:tcW w:w="2152" w:type="dxa"/>
            <w:tcBorders>
              <w:top w:val="single" w:sz="8" w:space="0" w:color="4F81BD"/>
            </w:tcBorders>
            <w:shd w:val="clear" w:color="auto" w:fill="4F81BD"/>
            <w:tcMar>
              <w:top w:w="100" w:type="dxa"/>
              <w:left w:w="100" w:type="dxa"/>
              <w:bottom w:w="100" w:type="dxa"/>
              <w:right w:w="100" w:type="dxa"/>
            </w:tcMar>
          </w:tcPr>
          <w:p w:rsidR="00083FE2" w:rsidRDefault="00551FCE">
            <w:pPr>
              <w:jc w:val="center"/>
            </w:pPr>
            <w:r>
              <w:rPr>
                <w:b/>
                <w:color w:val="FFFFFF"/>
                <w:shd w:val="clear" w:color="auto" w:fill="4F81BD"/>
              </w:rPr>
              <w:t>„Eurojackpot“ skaičiai</w:t>
            </w:r>
          </w:p>
        </w:tc>
        <w:tc>
          <w:tcPr>
            <w:tcW w:w="2182" w:type="dxa"/>
            <w:tcBorders>
              <w:top w:val="single" w:sz="8" w:space="0" w:color="4F81BD"/>
              <w:right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Parašas</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bl>
    <w:p w:rsidR="00083FE2" w:rsidRDefault="00083FE2"/>
    <w:p w:rsidR="00083FE2" w:rsidRDefault="000E1EB0">
      <w:pPr>
        <w:numPr>
          <w:ilvl w:val="0"/>
          <w:numId w:val="2"/>
        </w:numPr>
        <w:ind w:hanging="360"/>
        <w:contextualSpacing/>
      </w:pPr>
      <w:r>
        <w:t xml:space="preserve">Sindikato nariai sutaria vienam „Eurojackpot“ žaidimui sumokėti po </w:t>
      </w:r>
      <w:r>
        <w:rPr>
          <w:b/>
        </w:rPr>
        <w:t>_________Eur</w:t>
      </w:r>
      <w:r>
        <w:t>.</w:t>
      </w:r>
    </w:p>
    <w:p w:rsidR="00083FE2" w:rsidRDefault="00083FE2"/>
    <w:p w:rsidR="00083FE2" w:rsidRDefault="000E1EB0">
      <w:pPr>
        <w:numPr>
          <w:ilvl w:val="0"/>
          <w:numId w:val="2"/>
        </w:numPr>
        <w:ind w:hanging="360"/>
        <w:contextualSpacing/>
      </w:pPr>
      <w:r>
        <w:t>Šie pinigai turi būti sumokėti kiekvieno mėnesio pradžioje, o jų suma priklausys nuo žaidimų, kuriuose dalyvauja sindikatas, skaičiaus (pavyzdžiui, 8 Eur, jei tą mėnesį vyks 4 žaidimai, arba 10 Eur, jei vyks 5 žaidimai).</w:t>
      </w:r>
    </w:p>
    <w:p w:rsidR="00083FE2" w:rsidRDefault="00083FE2"/>
    <w:p w:rsidR="00083FE2" w:rsidRDefault="000E1EB0">
      <w:pPr>
        <w:numPr>
          <w:ilvl w:val="0"/>
          <w:numId w:val="2"/>
        </w:numPr>
        <w:ind w:hanging="360"/>
        <w:contextualSpacing/>
      </w:pPr>
      <w:r>
        <w:t>Sindikato vadovas iki žaidimo nuperka visus bilietus.</w:t>
      </w:r>
    </w:p>
    <w:p w:rsidR="00083FE2" w:rsidRDefault="00083FE2"/>
    <w:p w:rsidR="00083FE2" w:rsidRDefault="000E1EB0">
      <w:pPr>
        <w:numPr>
          <w:ilvl w:val="0"/>
          <w:numId w:val="2"/>
        </w:numPr>
        <w:ind w:hanging="360"/>
        <w:contextualSpacing/>
      </w:pPr>
      <w:r>
        <w:t xml:space="preserve">Jei sindikato narys nesumoka sutartos sumos iki bilietų pirkimo, </w:t>
      </w:r>
      <w:r>
        <w:rPr>
          <w:color w:val="0F243E"/>
          <w:highlight w:val="yellow"/>
        </w:rPr>
        <w:t>[jis galės toliau žaisti, o jo žaidimą apmokės kiti nariai, su sąlyga, kad jis pasistengs kuo greičiau grąžinti pinigus]</w:t>
      </w:r>
      <w:r>
        <w:rPr>
          <w:color w:val="FF0000"/>
        </w:rPr>
        <w:t xml:space="preserve"> </w:t>
      </w:r>
      <w:r>
        <w:rPr>
          <w:b/>
        </w:rPr>
        <w:t xml:space="preserve">ARBA </w:t>
      </w:r>
      <w:r>
        <w:rPr>
          <w:color w:val="0F243E"/>
          <w:highlight w:val="yellow"/>
        </w:rPr>
        <w:t>[jis neturės teisės gauti žaidimo (-ų), kurio (-ių) bilietų jis iš anksto neapmokėjo, o jo laimėjimo dalis bus lygiai padalyta tarp kitų sindikato narių]</w:t>
      </w:r>
      <w:r>
        <w:rPr>
          <w:color w:val="0F243E"/>
        </w:rPr>
        <w:t>.</w:t>
      </w:r>
    </w:p>
    <w:p w:rsidR="00083FE2" w:rsidRDefault="000E1EB0">
      <w:pPr>
        <w:ind w:left="720"/>
      </w:pPr>
      <w:r>
        <w:t xml:space="preserve"> </w:t>
      </w:r>
    </w:p>
    <w:p w:rsidR="00083FE2" w:rsidRDefault="000E1EB0">
      <w:pPr>
        <w:numPr>
          <w:ilvl w:val="0"/>
          <w:numId w:val="2"/>
        </w:numPr>
        <w:ind w:hanging="360"/>
        <w:contextualSpacing/>
      </w:pPr>
      <w:r>
        <w:rPr>
          <w:color w:val="0F243E"/>
          <w:highlight w:val="yellow"/>
        </w:rPr>
        <w:t>[Kiekvienas sindikato narys pasirenka skaičių derinį, su kuriuo žais kiekviename žaidime. Sindikato nariai sutarė ir supranta, kad bet kurio skaičių derinio laimėjimo atveju laimėjimai paskirstomi visiems sindikato nariams]</w:t>
      </w:r>
      <w:r>
        <w:t xml:space="preserve"> </w:t>
      </w:r>
      <w:r>
        <w:rPr>
          <w:b/>
        </w:rPr>
        <w:t xml:space="preserve">ARBA </w:t>
      </w:r>
      <w:r>
        <w:rPr>
          <w:highlight w:val="yellow"/>
        </w:rPr>
        <w:t>[„Eurojackpot“ skaičiai parenkami naudojantis „Greito parinkimo“ funkcija]</w:t>
      </w:r>
    </w:p>
    <w:p w:rsidR="00083FE2" w:rsidRDefault="00083FE2"/>
    <w:p w:rsidR="00083FE2" w:rsidRDefault="000E1EB0">
      <w:pPr>
        <w:numPr>
          <w:ilvl w:val="0"/>
          <w:numId w:val="2"/>
        </w:numPr>
        <w:ind w:hanging="360"/>
        <w:contextualSpacing/>
      </w:pPr>
      <w:r>
        <w:lastRenderedPageBreak/>
        <w:t>Sindikato vadovas nuperka visus loterijos bilietus</w:t>
      </w:r>
      <w:r>
        <w:rPr>
          <w:highlight w:val="yellow"/>
        </w:rPr>
        <w:t xml:space="preserve"> [įgaliotoje prekybos vietoje]</w:t>
      </w:r>
      <w:r>
        <w:t xml:space="preserve"> </w:t>
      </w:r>
      <w:r>
        <w:rPr>
          <w:b/>
        </w:rPr>
        <w:t>ARBA</w:t>
      </w:r>
      <w:r>
        <w:t xml:space="preserve"> </w:t>
      </w:r>
      <w:r>
        <w:rPr>
          <w:highlight w:val="yellow"/>
        </w:rPr>
        <w:t>[internetu]</w:t>
      </w:r>
      <w:r>
        <w:t>.</w:t>
      </w:r>
    </w:p>
    <w:p w:rsidR="00083FE2" w:rsidRDefault="00083FE2"/>
    <w:p w:rsidR="00083FE2" w:rsidRDefault="000E1EB0">
      <w:pPr>
        <w:numPr>
          <w:ilvl w:val="0"/>
          <w:numId w:val="2"/>
        </w:numPr>
        <w:ind w:hanging="360"/>
        <w:contextualSpacing/>
      </w:pPr>
      <w:r>
        <w:t>Po kiekvieno žaidimo kitas sindikato narys atskirai patikrina visus bilietus.</w:t>
      </w:r>
    </w:p>
    <w:p w:rsidR="00083FE2" w:rsidRDefault="00083FE2"/>
    <w:p w:rsidR="00083FE2" w:rsidRDefault="000E1EB0">
      <w:pPr>
        <w:numPr>
          <w:ilvl w:val="0"/>
          <w:numId w:val="2"/>
        </w:numPr>
        <w:ind w:hanging="360"/>
        <w:contextualSpacing/>
      </w:pPr>
      <w:r>
        <w:t>Sindikato nariai dalyvauja sindikate ne mažiau ______ mėn., nurodant konkrečias dalyvavimo pradžios ir pabaigos datas.</w:t>
      </w:r>
    </w:p>
    <w:p w:rsidR="00083FE2" w:rsidRDefault="00083FE2"/>
    <w:p w:rsidR="00083FE2" w:rsidRDefault="000E1EB0">
      <w:pPr>
        <w:numPr>
          <w:ilvl w:val="0"/>
          <w:numId w:val="2"/>
        </w:numPr>
        <w:ind w:hanging="360"/>
        <w:contextualSpacing/>
      </w:pPr>
      <w:r>
        <w:t xml:space="preserve">Pasibaigus _______  mėn. laikotarpiui visi sindikato nariai vienodomis dalimis pasidalys visą sukauptą laimėjimų sumą. Ši taisyklė negalioja, jei vienam nariui tenkanti laimėjimų suma bus lygi ar viršys </w:t>
      </w:r>
      <w:r>
        <w:rPr>
          <w:b/>
        </w:rPr>
        <w:t>_______€</w:t>
      </w:r>
      <w:r>
        <w:t xml:space="preserve"> – tokiu atveju laimėjimas išmokamas nedelsiant arba kuo greičiau.</w:t>
      </w:r>
    </w:p>
    <w:p w:rsidR="00083FE2" w:rsidRDefault="00083FE2"/>
    <w:p w:rsidR="00083FE2" w:rsidRDefault="000E1EB0">
      <w:pPr>
        <w:numPr>
          <w:ilvl w:val="0"/>
          <w:numId w:val="2"/>
        </w:numPr>
        <w:ind w:hanging="360"/>
        <w:contextualSpacing/>
      </w:pPr>
      <w:r>
        <w:t xml:space="preserve">Sindikato vadovas pripažįsta, kad jis turi teisinę prievolę nustatytu laiku perduoti visus laimėjimus tiesiogiai </w:t>
      </w:r>
      <w:r>
        <w:rPr>
          <w:highlight w:val="yellow"/>
        </w:rPr>
        <w:t>[sindikato nariams]</w:t>
      </w:r>
      <w:r>
        <w:t xml:space="preserve"> </w:t>
      </w:r>
      <w:r>
        <w:rPr>
          <w:b/>
        </w:rPr>
        <w:t>ARBA</w:t>
      </w:r>
      <w:r>
        <w:t xml:space="preserve"> </w:t>
      </w:r>
      <w:r>
        <w:rPr>
          <w:highlight w:val="yellow"/>
        </w:rPr>
        <w:t>[į bendrą sindikato fondą]</w:t>
      </w:r>
      <w:r>
        <w:t>.</w:t>
      </w:r>
    </w:p>
    <w:p w:rsidR="00083FE2" w:rsidRDefault="00083FE2"/>
    <w:p w:rsidR="00083FE2" w:rsidRDefault="000E1EB0">
      <w:pPr>
        <w:numPr>
          <w:ilvl w:val="0"/>
          <w:numId w:val="2"/>
        </w:numPr>
        <w:ind w:hanging="360"/>
        <w:contextualSpacing/>
      </w:pPr>
      <w:r>
        <w:t>Jei kuris sindikato narys dėl susiklosčiusių aplinkybių pageidauja išstoti iš sindikato, išeidamas jis gauna jam priklausančią sukaupto laimėjimo dalį. Jam taip pat grąžinami pinigai, sumokėti už bilietus dalyvavimui būsimuose žaidimuose, kurių metu jis nebus sindikato nariu. Nuo šios akimirkos visi sindikato laimėjimai paskirstomi likusiems sindikato nariams, o iš sindikato išstojęs žaidėjas pripažįsta, kad jis neturi teisės į sindikato laimėjimus, laimėtus po jo išstojimo datos.</w:t>
      </w:r>
    </w:p>
    <w:p w:rsidR="00083FE2" w:rsidRDefault="00083FE2"/>
    <w:p w:rsidR="00083FE2" w:rsidRDefault="000E1EB0">
      <w:pPr>
        <w:numPr>
          <w:ilvl w:val="0"/>
          <w:numId w:val="2"/>
        </w:numPr>
        <w:ind w:hanging="360"/>
        <w:contextualSpacing/>
      </w:pPr>
      <w:r>
        <w:t xml:space="preserve">Atskirais atvejais sindikatas gali pirkti daugiau bilietų ypatingiems žaidimams, tačiau tam turi pritarti </w:t>
      </w:r>
      <w:r>
        <w:rPr>
          <w:highlight w:val="yellow"/>
        </w:rPr>
        <w:t>[visi]</w:t>
      </w:r>
      <w:r>
        <w:t xml:space="preserve"> </w:t>
      </w:r>
      <w:r>
        <w:rPr>
          <w:b/>
        </w:rPr>
        <w:t xml:space="preserve">ARBA </w:t>
      </w:r>
      <w:r>
        <w:rPr>
          <w:highlight w:val="yellow"/>
        </w:rPr>
        <w:t>[dauguma]</w:t>
      </w:r>
      <w:r>
        <w:t xml:space="preserve"> narių.</w:t>
      </w:r>
    </w:p>
    <w:p w:rsidR="00083FE2" w:rsidRDefault="00083FE2"/>
    <w:p w:rsidR="00083FE2" w:rsidRDefault="000E1EB0">
      <w:pPr>
        <w:numPr>
          <w:ilvl w:val="0"/>
          <w:numId w:val="2"/>
        </w:numPr>
        <w:ind w:hanging="360"/>
        <w:contextualSpacing/>
      </w:pPr>
      <w:r>
        <w:t>Laimėjus stambią sumą, apie tai viešai paskelbiama tik gavus visų sindikato narių raštišką sutikimą. Sindikato nariai taip pat sutinka neatskleisti pašaliniams asmenims informacijos apie bet kokius stambesnius laimėjimus, jei dėl tokio atskleidimo gali būti identifikuotas kuris nors sindikato narys, jo šeimos narys ar jo darbdavys.</w:t>
      </w:r>
    </w:p>
    <w:p w:rsidR="00083FE2" w:rsidRDefault="00083FE2"/>
    <w:p w:rsidR="00083FE2" w:rsidRDefault="000E1EB0">
      <w:pPr>
        <w:numPr>
          <w:ilvl w:val="0"/>
          <w:numId w:val="2"/>
        </w:numPr>
        <w:ind w:hanging="360"/>
        <w:contextualSpacing/>
      </w:pPr>
      <w:r>
        <w:t>Bet kuris sindikato narys turi teisę bet kada pareikalauti informacijos apie sindikato fondo balansą.</w:t>
      </w:r>
    </w:p>
    <w:p w:rsidR="00083FE2" w:rsidRDefault="00083FE2"/>
    <w:p w:rsidR="00083FE2" w:rsidRDefault="000E1EB0">
      <w:pPr>
        <w:numPr>
          <w:ilvl w:val="0"/>
          <w:numId w:val="2"/>
        </w:numPr>
        <w:ind w:hanging="360"/>
        <w:contextualSpacing/>
      </w:pPr>
      <w:r>
        <w:t>Sindikato gyvavimas nutrūksta, jei jo narių skaičius sumažėja iki mažiau nei ____ žaidėjų. Tuomet sukaupti laimėjimai vienodai padalijami visiems nariams.</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r>
        <w:rPr>
          <w:b/>
          <w:sz w:val="20"/>
          <w:szCs w:val="20"/>
        </w:rPr>
        <w:lastRenderedPageBreak/>
        <w:t>ATSAKOMYBĖS APRIBOJIMAS Šis sindikato sutarties pavyzdys yra TIK informacinio pobūdžio, o Euro-Jackpot.net neprisiima jokios atsakomybės, kylančios iš viso ar dalies sutarties pavyzdžio naudojimo ar dėl jo naudojimo patirtų nuostolių.</w:t>
      </w:r>
    </w:p>
    <w:p w:rsidR="00083FE2" w:rsidRDefault="00083FE2"/>
    <w:sectPr w:rsidR="00083FE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C58EB"/>
    <w:multiLevelType w:val="multilevel"/>
    <w:tmpl w:val="070A88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BAD29E2"/>
    <w:multiLevelType w:val="multilevel"/>
    <w:tmpl w:val="0DAE48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compat>
    <w:compatSetting w:name="compatibilityMode" w:uri="http://schemas.microsoft.com/office/word" w:val="14"/>
  </w:compat>
  <w:rsids>
    <w:rsidRoot w:val="00083FE2"/>
    <w:rsid w:val="00083FE2"/>
    <w:rsid w:val="000E1EB0"/>
    <w:rsid w:val="00132069"/>
    <w:rsid w:val="00133A50"/>
    <w:rsid w:val="001A7C34"/>
    <w:rsid w:val="002E3CD9"/>
    <w:rsid w:val="003E19F1"/>
    <w:rsid w:val="00551FCE"/>
    <w:rsid w:val="00774858"/>
    <w:rsid w:val="008B709B"/>
    <w:rsid w:val="00A57C90"/>
    <w:rsid w:val="00AD5EBA"/>
    <w:rsid w:val="00C94CBE"/>
    <w:rsid w:val="00E9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76591-1175-40F9-A9F1-13B5053D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lt-LT"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D5EBA"/>
    <w:rPr>
      <w:sz w:val="16"/>
      <w:szCs w:val="16"/>
    </w:rPr>
  </w:style>
  <w:style w:type="paragraph" w:styleId="CommentText">
    <w:name w:val="annotation text"/>
    <w:basedOn w:val="Normal"/>
    <w:link w:val="CommentTextChar"/>
    <w:uiPriority w:val="99"/>
    <w:semiHidden/>
    <w:unhideWhenUsed/>
    <w:rsid w:val="00AD5EBA"/>
    <w:pPr>
      <w:spacing w:line="240" w:lineRule="auto"/>
    </w:pPr>
    <w:rPr>
      <w:sz w:val="20"/>
      <w:szCs w:val="20"/>
    </w:rPr>
  </w:style>
  <w:style w:type="character" w:customStyle="1" w:styleId="CommentTextChar">
    <w:name w:val="Comment Text Char"/>
    <w:basedOn w:val="DefaultParagraphFont"/>
    <w:link w:val="CommentText"/>
    <w:uiPriority w:val="99"/>
    <w:semiHidden/>
    <w:rsid w:val="00AD5EBA"/>
    <w:rPr>
      <w:sz w:val="20"/>
      <w:szCs w:val="20"/>
    </w:rPr>
  </w:style>
  <w:style w:type="paragraph" w:styleId="CommentSubject">
    <w:name w:val="annotation subject"/>
    <w:basedOn w:val="CommentText"/>
    <w:next w:val="CommentText"/>
    <w:link w:val="CommentSubjectChar"/>
    <w:uiPriority w:val="99"/>
    <w:semiHidden/>
    <w:unhideWhenUsed/>
    <w:rsid w:val="00AD5EBA"/>
    <w:rPr>
      <w:b/>
      <w:bCs/>
    </w:rPr>
  </w:style>
  <w:style w:type="character" w:customStyle="1" w:styleId="CommentSubjectChar">
    <w:name w:val="Comment Subject Char"/>
    <w:basedOn w:val="CommentTextChar"/>
    <w:link w:val="CommentSubject"/>
    <w:uiPriority w:val="99"/>
    <w:semiHidden/>
    <w:rsid w:val="00AD5EBA"/>
    <w:rPr>
      <w:b/>
      <w:bCs/>
      <w:sz w:val="20"/>
      <w:szCs w:val="20"/>
    </w:rPr>
  </w:style>
  <w:style w:type="paragraph" w:styleId="BalloonText">
    <w:name w:val="Balloon Text"/>
    <w:basedOn w:val="Normal"/>
    <w:link w:val="BalloonTextChar"/>
    <w:uiPriority w:val="99"/>
    <w:semiHidden/>
    <w:unhideWhenUsed/>
    <w:rsid w:val="00AD5E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EBA"/>
    <w:rPr>
      <w:rFonts w:ascii="Tahoma" w:hAnsi="Tahoma" w:cs="Tahoma"/>
      <w:sz w:val="16"/>
      <w:szCs w:val="16"/>
    </w:rPr>
  </w:style>
  <w:style w:type="paragraph" w:styleId="Revision">
    <w:name w:val="Revision"/>
    <w:hidden/>
    <w:uiPriority w:val="99"/>
    <w:semiHidden/>
    <w:rsid w:val="00A57C90"/>
    <w:pPr>
      <w:spacing w:line="240" w:lineRule="auto"/>
    </w:pPr>
  </w:style>
  <w:style w:type="table" w:styleId="TableGrid">
    <w:name w:val="Table Grid"/>
    <w:basedOn w:val="TableNormal"/>
    <w:uiPriority w:val="59"/>
    <w:rsid w:val="003E19F1"/>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Beznosov</cp:lastModifiedBy>
  <cp:revision>12</cp:revision>
  <dcterms:created xsi:type="dcterms:W3CDTF">2016-03-24T15:15:00Z</dcterms:created>
  <dcterms:modified xsi:type="dcterms:W3CDTF">2016-11-09T11:10:00Z</dcterms:modified>
</cp:coreProperties>
</file>