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CD" w:rsidRPr="00FD36FA" w:rsidRDefault="00EE32CD" w:rsidP="00EE32CD">
      <w:pPr>
        <w:ind w:left="360"/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bookmarkStart w:id="0" w:name="_GoBack"/>
      <w:bookmarkEnd w:id="0"/>
      <w:r w:rsidRPr="00FD36FA">
        <w:rPr>
          <w:rFonts w:ascii="Arial" w:hAnsi="Arial" w:cs="Arial"/>
          <w:b/>
          <w:sz w:val="28"/>
          <w:szCs w:val="28"/>
          <w:u w:val="single"/>
          <w:lang w:val="de-DE"/>
        </w:rPr>
        <w:t>Eurojack</w:t>
      </w:r>
      <w:r w:rsidR="00E273B7" w:rsidRPr="00FD36FA">
        <w:rPr>
          <w:rFonts w:ascii="Arial" w:hAnsi="Arial" w:cs="Arial"/>
          <w:b/>
          <w:sz w:val="28"/>
          <w:szCs w:val="28"/>
          <w:u w:val="single"/>
          <w:lang w:val="de-DE"/>
        </w:rPr>
        <w:t>p</w:t>
      </w:r>
      <w:r w:rsidRPr="00FD36FA">
        <w:rPr>
          <w:rFonts w:ascii="Arial" w:hAnsi="Arial" w:cs="Arial"/>
          <w:b/>
          <w:sz w:val="28"/>
          <w:szCs w:val="28"/>
          <w:u w:val="single"/>
          <w:lang w:val="de-DE"/>
        </w:rPr>
        <w:t>ot Tippgemeinschaftsvertrag</w:t>
      </w:r>
    </w:p>
    <w:p w:rsidR="00EE32CD" w:rsidRPr="00FD36FA" w:rsidRDefault="00D04C93" w:rsidP="00FD36FA">
      <w:pPr>
        <w:rPr>
          <w:rFonts w:ascii="Arial" w:hAnsi="Arial" w:cs="Arial"/>
          <w:b/>
          <w:lang w:val="de-DE"/>
        </w:rPr>
      </w:pPr>
      <w:r w:rsidRPr="00FD36FA">
        <w:rPr>
          <w:rFonts w:ascii="Arial" w:hAnsi="Arial" w:cs="Arial"/>
          <w:b/>
          <w:lang w:val="de-DE"/>
        </w:rPr>
        <w:t>Sprecher</w:t>
      </w:r>
      <w:r w:rsidR="00EE32CD" w:rsidRPr="00FD36FA">
        <w:rPr>
          <w:rFonts w:ascii="Arial" w:hAnsi="Arial" w:cs="Arial"/>
          <w:b/>
          <w:lang w:val="de-DE"/>
        </w:rPr>
        <w:t>:</w:t>
      </w:r>
    </w:p>
    <w:p w:rsidR="00EE32CD" w:rsidRPr="00FD36FA" w:rsidRDefault="00EE32CD" w:rsidP="00FD36FA">
      <w:pPr>
        <w:rPr>
          <w:rFonts w:ascii="Arial" w:hAnsi="Arial" w:cs="Arial"/>
          <w:b/>
          <w:lang w:val="de-DE"/>
        </w:rPr>
      </w:pPr>
      <w:r w:rsidRPr="00FD36FA">
        <w:rPr>
          <w:rFonts w:ascii="Arial" w:hAnsi="Arial" w:cs="Arial"/>
          <w:b/>
          <w:lang w:val="de-DE"/>
        </w:rPr>
        <w:t>Kontaktdaten/Telefonnummer:</w:t>
      </w:r>
    </w:p>
    <w:p w:rsidR="00EE32CD" w:rsidRPr="00FD36FA" w:rsidRDefault="00C1383B" w:rsidP="00FD36FA">
      <w:pPr>
        <w:rPr>
          <w:rFonts w:ascii="Arial" w:hAnsi="Arial" w:cs="Arial"/>
          <w:b/>
          <w:lang w:val="de-DE"/>
        </w:rPr>
      </w:pPr>
      <w:r w:rsidRPr="00FD36FA">
        <w:rPr>
          <w:rFonts w:ascii="Arial" w:hAnsi="Arial" w:cs="Arial"/>
          <w:b/>
          <w:lang w:val="de-DE"/>
        </w:rPr>
        <w:t>Beginn des Vertra</w:t>
      </w:r>
      <w:r w:rsidR="00EE32CD" w:rsidRPr="00FD36FA">
        <w:rPr>
          <w:rFonts w:ascii="Arial" w:hAnsi="Arial" w:cs="Arial"/>
          <w:b/>
          <w:lang w:val="de-DE"/>
        </w:rPr>
        <w:t>gs:</w:t>
      </w:r>
      <w:r w:rsidR="00FD36FA" w:rsidRPr="00FD36FA">
        <w:rPr>
          <w:rFonts w:ascii="Arial" w:hAnsi="Arial" w:cs="Arial"/>
          <w:b/>
          <w:lang w:val="de-DE"/>
        </w:rPr>
        <w:tab/>
      </w:r>
      <w:r w:rsidR="00FD36FA" w:rsidRPr="00FD36FA">
        <w:rPr>
          <w:rFonts w:ascii="Arial" w:hAnsi="Arial" w:cs="Arial"/>
          <w:b/>
          <w:lang w:val="de-DE"/>
        </w:rPr>
        <w:tab/>
      </w:r>
      <w:r w:rsidR="00FD36FA" w:rsidRPr="00FD36FA">
        <w:rPr>
          <w:rFonts w:ascii="Arial" w:hAnsi="Arial" w:cs="Arial"/>
          <w:b/>
          <w:lang w:val="de-DE"/>
        </w:rPr>
        <w:tab/>
      </w:r>
      <w:r w:rsidR="00EE32CD" w:rsidRPr="00FD36FA">
        <w:rPr>
          <w:rFonts w:ascii="Arial" w:hAnsi="Arial" w:cs="Arial"/>
          <w:b/>
          <w:lang w:val="de-DE"/>
        </w:rPr>
        <w:t>Ende</w:t>
      </w:r>
      <w:r w:rsidR="00FD36FA" w:rsidRPr="00FD36FA">
        <w:rPr>
          <w:rFonts w:ascii="Arial" w:hAnsi="Arial" w:cs="Arial"/>
          <w:b/>
          <w:lang w:val="de-DE"/>
        </w:rPr>
        <w:t xml:space="preserve"> des Vertrags</w:t>
      </w:r>
      <w:r w:rsidR="00EE32CD" w:rsidRPr="00FD36FA">
        <w:rPr>
          <w:rFonts w:ascii="Arial" w:hAnsi="Arial" w:cs="Arial"/>
          <w:b/>
          <w:lang w:val="de-DE"/>
        </w:rPr>
        <w:t>:</w:t>
      </w:r>
    </w:p>
    <w:p w:rsidR="00EE32CD" w:rsidRPr="00FD36FA" w:rsidRDefault="00EE32CD" w:rsidP="00FD36FA">
      <w:pPr>
        <w:rPr>
          <w:rFonts w:ascii="Arial" w:hAnsi="Arial" w:cs="Arial"/>
          <w:lang w:val="de-DE"/>
        </w:rPr>
      </w:pPr>
      <w:r w:rsidRPr="00FD36FA">
        <w:rPr>
          <w:rFonts w:ascii="Arial" w:hAnsi="Arial" w:cs="Arial"/>
          <w:lang w:val="de-DE"/>
        </w:rPr>
        <w:t>Mitglieder</w:t>
      </w:r>
    </w:p>
    <w:tbl>
      <w:tblPr>
        <w:tblW w:w="90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7"/>
        <w:gridCol w:w="2377"/>
        <w:gridCol w:w="2153"/>
        <w:gridCol w:w="2183"/>
      </w:tblGrid>
      <w:tr w:rsidR="00EE32CD" w:rsidRPr="00EE32CD" w:rsidTr="00EE32CD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b/>
                <w:color w:val="FFFFFF"/>
                <w:shd w:val="clear" w:color="auto" w:fill="4F81BD"/>
                <w:lang w:eastAsia="en-GB"/>
              </w:rPr>
              <w:t>Name</w:t>
            </w:r>
          </w:p>
        </w:tc>
        <w:tc>
          <w:tcPr>
            <w:tcW w:w="2375" w:type="dxa"/>
            <w:tcBorders>
              <w:top w:val="single" w:sz="8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FFFFFF"/>
                <w:shd w:val="clear" w:color="auto" w:fill="4F81BD"/>
                <w:lang w:eastAsia="en-GB"/>
              </w:rPr>
              <w:t>Kontaktdaten</w:t>
            </w:r>
          </w:p>
        </w:tc>
        <w:tc>
          <w:tcPr>
            <w:tcW w:w="2152" w:type="dxa"/>
            <w:tcBorders>
              <w:top w:val="single" w:sz="8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b/>
                <w:color w:val="FFFFFF"/>
                <w:shd w:val="clear" w:color="auto" w:fill="4F81BD"/>
                <w:lang w:eastAsia="en-GB"/>
              </w:rPr>
              <w:t xml:space="preserve">Eurojackpot </w:t>
            </w:r>
            <w:r>
              <w:rPr>
                <w:rFonts w:ascii="Arial" w:eastAsia="Arial" w:hAnsi="Arial" w:cs="Arial"/>
                <w:b/>
                <w:color w:val="FFFFFF"/>
                <w:shd w:val="clear" w:color="auto" w:fill="4F81BD"/>
                <w:lang w:eastAsia="en-GB"/>
              </w:rPr>
              <w:t>Zahlen</w:t>
            </w:r>
          </w:p>
        </w:tc>
        <w:tc>
          <w:tcPr>
            <w:tcW w:w="2182" w:type="dxa"/>
            <w:tcBorders>
              <w:top w:val="single" w:sz="8" w:space="0" w:color="4F81BD"/>
              <w:left w:val="single" w:sz="6" w:space="0" w:color="000000"/>
              <w:bottom w:val="single" w:sz="6" w:space="0" w:color="000000"/>
              <w:right w:val="single" w:sz="8" w:space="0" w:color="4F81BD"/>
            </w:tcBorders>
            <w:shd w:val="clear" w:color="auto" w:fill="4F81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FFFFFF"/>
                <w:shd w:val="clear" w:color="auto" w:fill="4F81BD"/>
                <w:lang w:eastAsia="en-GB"/>
              </w:rPr>
              <w:t>Unterschrift</w:t>
            </w:r>
          </w:p>
        </w:tc>
      </w:tr>
      <w:tr w:rsidR="00EE32CD" w:rsidRPr="00EE32CD" w:rsidTr="00EE32CD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EE32CD" w:rsidRPr="00EE32CD" w:rsidTr="00EE32CD">
        <w:tc>
          <w:tcPr>
            <w:tcW w:w="2315" w:type="dxa"/>
            <w:tcBorders>
              <w:top w:val="single" w:sz="6" w:space="0" w:color="000000"/>
              <w:left w:val="single" w:sz="8" w:space="0" w:color="4F81BD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EE32CD" w:rsidRPr="00EE32CD" w:rsidTr="00EE32CD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EE32CD" w:rsidRPr="00EE32CD" w:rsidTr="00EE32CD">
        <w:tc>
          <w:tcPr>
            <w:tcW w:w="2315" w:type="dxa"/>
            <w:tcBorders>
              <w:top w:val="single" w:sz="6" w:space="0" w:color="000000"/>
              <w:left w:val="single" w:sz="8" w:space="0" w:color="4F81BD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EE32CD" w:rsidRPr="00EE32CD" w:rsidTr="00EE32CD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EE32CD" w:rsidRPr="00EE32CD" w:rsidTr="00EE32CD">
        <w:tc>
          <w:tcPr>
            <w:tcW w:w="2315" w:type="dxa"/>
            <w:tcBorders>
              <w:top w:val="single" w:sz="6" w:space="0" w:color="000000"/>
              <w:left w:val="single" w:sz="8" w:space="0" w:color="4F81BD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EE32CD" w:rsidRPr="00EE32CD" w:rsidTr="00EE32CD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b/>
                <w:color w:val="000000"/>
                <w:lang w:eastAsia="en-GB"/>
              </w:rPr>
              <w:t xml:space="preserve"> </w:t>
            </w:r>
          </w:p>
        </w:tc>
        <w:tc>
          <w:tcPr>
            <w:tcW w:w="2375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52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4F81BD"/>
              <w:left w:val="single" w:sz="6" w:space="0" w:color="000000"/>
              <w:bottom w:val="single" w:sz="8" w:space="0" w:color="4F81BD"/>
              <w:right w:val="single" w:sz="8" w:space="0" w:color="4F81BD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2CD" w:rsidRPr="00EE32CD" w:rsidRDefault="00EE32CD" w:rsidP="00EE32CD">
            <w:pPr>
              <w:spacing w:after="0" w:line="276" w:lineRule="auto"/>
              <w:rPr>
                <w:rFonts w:ascii="Arial" w:eastAsia="Arial" w:hAnsi="Arial" w:cs="Arial"/>
                <w:color w:val="000000"/>
                <w:lang w:eastAsia="en-GB"/>
              </w:rPr>
            </w:pPr>
            <w:r w:rsidRPr="00EE32CD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</w:tc>
      </w:tr>
    </w:tbl>
    <w:p w:rsidR="00EE32CD" w:rsidRDefault="00EE32CD" w:rsidP="00EE32CD">
      <w:pPr>
        <w:ind w:left="360"/>
        <w:rPr>
          <w:lang w:val="de-DE"/>
        </w:rPr>
      </w:pPr>
    </w:p>
    <w:p w:rsidR="00EE32CD" w:rsidRDefault="0042454A" w:rsidP="00EE32CD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Jedes Mit</w:t>
      </w:r>
      <w:r w:rsidR="00EE32CD">
        <w:rPr>
          <w:lang w:val="de-DE"/>
        </w:rPr>
        <w:t>g</w:t>
      </w:r>
      <w:r>
        <w:rPr>
          <w:lang w:val="de-DE"/>
        </w:rPr>
        <w:t>l</w:t>
      </w:r>
      <w:r w:rsidR="00EE32CD">
        <w:rPr>
          <w:lang w:val="de-DE"/>
        </w:rPr>
        <w:t>ied zahlt _____ Euro Spieleinsatz pro Ziehung.</w:t>
      </w:r>
    </w:p>
    <w:p w:rsidR="00EE32CD" w:rsidRDefault="00EE32CD" w:rsidP="00EE32CD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Spieleinsatz wird zu Beginn jedes Monats gezahlt und hängt von der Anzahl der Ziehungen, die jeden Monat gespielt werden, ab</w:t>
      </w:r>
      <w:r w:rsidR="00DB5C98">
        <w:rPr>
          <w:lang w:val="de-DE"/>
        </w:rPr>
        <w:t>.</w:t>
      </w:r>
    </w:p>
    <w:p w:rsidR="00DB5C98" w:rsidRDefault="00D04C93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Der Sprecher</w:t>
      </w:r>
      <w:r w:rsidR="00DB5C98" w:rsidRPr="00DB5C98">
        <w:rPr>
          <w:lang w:val="de-DE"/>
        </w:rPr>
        <w:t xml:space="preserve"> kauft </w:t>
      </w:r>
      <w:r>
        <w:rPr>
          <w:lang w:val="de-DE"/>
        </w:rPr>
        <w:t>die Spiel</w:t>
      </w:r>
      <w:r w:rsidR="00DB5C98" w:rsidRPr="00DB5C98">
        <w:rPr>
          <w:lang w:val="de-DE"/>
        </w:rPr>
        <w:t>schein</w:t>
      </w:r>
      <w:r w:rsidR="00DB5C98">
        <w:rPr>
          <w:lang w:val="de-DE"/>
        </w:rPr>
        <w:t>e</w:t>
      </w:r>
      <w:r w:rsidR="00DB5C98" w:rsidRPr="00DB5C98">
        <w:rPr>
          <w:lang w:val="de-DE"/>
        </w:rPr>
        <w:t xml:space="preserve"> vor jeder Ziehung.</w:t>
      </w:r>
    </w:p>
    <w:p w:rsidR="00DB5C98" w:rsidRPr="00DB5C98" w:rsidRDefault="00DB5C98" w:rsidP="00DB5C98">
      <w:pPr>
        <w:pStyle w:val="ListParagraph"/>
        <w:numPr>
          <w:ilvl w:val="0"/>
          <w:numId w:val="2"/>
        </w:numPr>
        <w:rPr>
          <w:lang w:val="de-DE"/>
        </w:rPr>
      </w:pPr>
      <w:r w:rsidRPr="00EE32CD">
        <w:rPr>
          <w:lang w:val="de-DE"/>
        </w:rPr>
        <w:t xml:space="preserve"> </w:t>
      </w:r>
      <w:r w:rsidRPr="00DB5C98">
        <w:rPr>
          <w:lang w:val="de-DE"/>
        </w:rPr>
        <w:t xml:space="preserve">Zahlt ein Mitglied seinen Spieleinsatz nicht rechtzeitig, </w:t>
      </w:r>
      <w:r>
        <w:rPr>
          <w:lang w:val="de-DE"/>
        </w:rPr>
        <w:t>[</w:t>
      </w:r>
      <w:r w:rsidRPr="00DB5C98">
        <w:rPr>
          <w:lang w:val="de-DE"/>
        </w:rPr>
        <w:t>nimmt er an der Ziehung Teil, indem er von den anderen Mitgliedern mit dem Verständnis, dass er so bald wie möglich zahlt, finanziert wird</w:t>
      </w:r>
      <w:r>
        <w:rPr>
          <w:lang w:val="de-DE"/>
        </w:rPr>
        <w:t>]</w:t>
      </w:r>
      <w:r w:rsidRPr="00DB5C98">
        <w:rPr>
          <w:lang w:val="de-DE"/>
        </w:rPr>
        <w:t xml:space="preserve"> </w:t>
      </w:r>
      <w:r w:rsidRPr="00DB5C98">
        <w:rPr>
          <w:b/>
          <w:sz w:val="24"/>
          <w:szCs w:val="24"/>
          <w:lang w:val="de-DE"/>
        </w:rPr>
        <w:t>oder</w:t>
      </w:r>
      <w:r w:rsidRPr="00DB5C98">
        <w:rPr>
          <w:lang w:val="de-DE"/>
        </w:rPr>
        <w:t xml:space="preserve"> </w:t>
      </w:r>
      <w:r>
        <w:rPr>
          <w:lang w:val="de-DE"/>
        </w:rPr>
        <w:t>[</w:t>
      </w:r>
      <w:r w:rsidRPr="00DB5C98">
        <w:rPr>
          <w:lang w:val="de-DE"/>
        </w:rPr>
        <w:t>nimmt er nicht an der Ziehung teil und erhält keinen Gewinn aus dieser Ziehung</w:t>
      </w:r>
      <w:r w:rsidR="003909A5">
        <w:rPr>
          <w:lang w:val="de-DE"/>
        </w:rPr>
        <w:t>, und der Gesamtg</w:t>
      </w:r>
      <w:r w:rsidRPr="00DB5C98">
        <w:rPr>
          <w:lang w:val="de-DE"/>
        </w:rPr>
        <w:t>ewinn wird unter den restlichen Mitgliedern aufgeteilt</w:t>
      </w:r>
      <w:r>
        <w:rPr>
          <w:lang w:val="de-DE"/>
        </w:rPr>
        <w:t>]</w:t>
      </w:r>
      <w:r w:rsidRPr="00DB5C98">
        <w:rPr>
          <w:lang w:val="de-DE"/>
        </w:rPr>
        <w:t>.</w:t>
      </w:r>
    </w:p>
    <w:p w:rsidR="00EE32CD" w:rsidRDefault="00DB5C98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[Jedes Mitglied spielt bei jeder Ziehung eine Zahlenreihe seiner Wahl. Der Gewinnbetrag wird immer unter allen Mitspielern aufgeteilt, egal welche Gewinnzahlen mit den gezogenen Gewinnzahlen übereinstimmen] </w:t>
      </w:r>
      <w:r w:rsidRPr="00DB5C98">
        <w:rPr>
          <w:b/>
          <w:sz w:val="24"/>
          <w:szCs w:val="24"/>
          <w:lang w:val="de-DE"/>
        </w:rPr>
        <w:t>oder</w:t>
      </w:r>
      <w:r>
        <w:rPr>
          <w:lang w:val="de-DE"/>
        </w:rPr>
        <w:t xml:space="preserve"> [</w:t>
      </w:r>
      <w:r w:rsidR="00DE1461">
        <w:rPr>
          <w:lang w:val="de-DE"/>
        </w:rPr>
        <w:t>die Zahlen werden per Quicktipp</w:t>
      </w:r>
      <w:r>
        <w:rPr>
          <w:lang w:val="de-DE"/>
        </w:rPr>
        <w:t xml:space="preserve"> getippt]</w:t>
      </w:r>
    </w:p>
    <w:p w:rsidR="00DB5C98" w:rsidRDefault="0042454A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Der Verantwortliche kauft die </w:t>
      </w:r>
      <w:r w:rsidR="007055DC">
        <w:rPr>
          <w:lang w:val="de-DE"/>
        </w:rPr>
        <w:t>Spielschein</w:t>
      </w:r>
      <w:r>
        <w:rPr>
          <w:lang w:val="de-DE"/>
        </w:rPr>
        <w:t xml:space="preserve">e [bei einer Lottoannahmestelle] </w:t>
      </w:r>
      <w:r w:rsidRPr="0042454A">
        <w:rPr>
          <w:b/>
          <w:lang w:val="de-DE"/>
        </w:rPr>
        <w:t>oder</w:t>
      </w:r>
      <w:r>
        <w:rPr>
          <w:lang w:val="de-DE"/>
        </w:rPr>
        <w:t xml:space="preserve"> [im Internet].</w:t>
      </w:r>
    </w:p>
    <w:p w:rsidR="0042454A" w:rsidRDefault="0042454A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Ein Mitglied der Tippgemeinschaft überprüft unabhängig die Gewinnzahlen nach jeder Ziehung.</w:t>
      </w:r>
    </w:p>
    <w:p w:rsidR="0042454A" w:rsidRDefault="0042454A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Mitglieder spielen für einen Mindestzeitraum von ____ Monaten innerhalb der besagten Daten.</w:t>
      </w:r>
    </w:p>
    <w:p w:rsidR="0042454A" w:rsidRDefault="0042454A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Nach Ende des Zeitraums von ____ Monaten bekommen alle Mitglieder den gleichen Anteil Gewinnauszahlungen. Einzige Ausnahme ist, wenn der Gewinn höher als ____ Euro ist</w:t>
      </w:r>
      <w:r w:rsidR="00DE1461">
        <w:rPr>
          <w:lang w:val="de-DE"/>
        </w:rPr>
        <w:t>. Ab dem Betrag wird er zum</w:t>
      </w:r>
      <w:r w:rsidR="006841B2">
        <w:rPr>
          <w:lang w:val="de-DE"/>
        </w:rPr>
        <w:t xml:space="preserve"> bald</w:t>
      </w:r>
      <w:r w:rsidR="003909A5">
        <w:rPr>
          <w:lang w:val="de-DE"/>
        </w:rPr>
        <w:t>möglichsten Zeitpunkt</w:t>
      </w:r>
      <w:r w:rsidR="006841B2">
        <w:rPr>
          <w:lang w:val="de-DE"/>
        </w:rPr>
        <w:t xml:space="preserve"> an die Gewinner ausgezahlt.</w:t>
      </w:r>
    </w:p>
    <w:p w:rsidR="006841B2" w:rsidRDefault="006841B2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Der Verantwortliche ist damit einverstanden, dass er alle Gewinnsummen an den vereinbarten Zeitpunkten direkt an [alle Mitglieder auszahlt] </w:t>
      </w:r>
      <w:r w:rsidRPr="006841B2">
        <w:rPr>
          <w:b/>
          <w:sz w:val="24"/>
          <w:szCs w:val="24"/>
          <w:lang w:val="de-DE"/>
        </w:rPr>
        <w:t>oder</w:t>
      </w:r>
      <w:r w:rsidR="003909A5">
        <w:rPr>
          <w:lang w:val="de-DE"/>
        </w:rPr>
        <w:t xml:space="preserve"> [auf</w:t>
      </w:r>
      <w:r w:rsidR="00DE1461">
        <w:rPr>
          <w:lang w:val="de-DE"/>
        </w:rPr>
        <w:t xml:space="preserve"> ein gemeinsames</w:t>
      </w:r>
      <w:r>
        <w:rPr>
          <w:lang w:val="de-DE"/>
        </w:rPr>
        <w:t xml:space="preserve"> </w:t>
      </w:r>
      <w:r w:rsidR="00DE1461">
        <w:rPr>
          <w:lang w:val="de-DE"/>
        </w:rPr>
        <w:t>Spielkonto</w:t>
      </w:r>
      <w:r>
        <w:rPr>
          <w:lang w:val="de-DE"/>
        </w:rPr>
        <w:t xml:space="preserve"> </w:t>
      </w:r>
      <w:r w:rsidR="003909A5">
        <w:rPr>
          <w:lang w:val="de-DE"/>
        </w:rPr>
        <w:t>ein</w:t>
      </w:r>
      <w:r>
        <w:rPr>
          <w:lang w:val="de-DE"/>
        </w:rPr>
        <w:t>zahlt].</w:t>
      </w:r>
    </w:p>
    <w:p w:rsidR="006841B2" w:rsidRDefault="006841B2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lastRenderedPageBreak/>
        <w:t xml:space="preserve">Tritt ein Mitglied aus der Tippgemeinschaft aus, bekommt dieses seinen Gewinn bis zum Zeitpunkt des Austritts ausgezahlt. Es werden auch alle Einnahmen von Vorauszahlungen für den Kauf zukünftiger </w:t>
      </w:r>
      <w:r w:rsidR="00DE1461">
        <w:rPr>
          <w:lang w:val="de-DE"/>
        </w:rPr>
        <w:t>Spiel</w:t>
      </w:r>
      <w:r>
        <w:rPr>
          <w:lang w:val="de-DE"/>
        </w:rPr>
        <w:t>scheine zurückgezahlt. Alle Gewinne ab Zeitpunkt des Austritts werden unter den restlichen Mitgliedern aufgeteilt. Alle der Tippgemeinschaft ausgetretenen Mitglieder machen nach ihrem Austritt keine weiteren Gewinnansprüche geltend.</w:t>
      </w:r>
    </w:p>
    <w:p w:rsidR="006841B2" w:rsidRDefault="006841B2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 xml:space="preserve">Die Tippgemeinschaft kann mit Zustimmung [nur von allen Mitgliedern] </w:t>
      </w:r>
      <w:r w:rsidRPr="006841B2">
        <w:rPr>
          <w:b/>
          <w:sz w:val="24"/>
          <w:szCs w:val="24"/>
          <w:lang w:val="de-DE"/>
        </w:rPr>
        <w:t>oder</w:t>
      </w:r>
      <w:r>
        <w:rPr>
          <w:lang w:val="de-DE"/>
        </w:rPr>
        <w:t xml:space="preserve"> [der Mehrheit der Mitglieder] bei Sonderziehungen zusätzliche </w:t>
      </w:r>
      <w:r w:rsidR="007055DC">
        <w:rPr>
          <w:lang w:val="de-DE"/>
        </w:rPr>
        <w:t>Spielschein</w:t>
      </w:r>
      <w:r>
        <w:rPr>
          <w:lang w:val="de-DE"/>
        </w:rPr>
        <w:t>e kaufen.</w:t>
      </w:r>
    </w:p>
    <w:p w:rsidR="006841B2" w:rsidRDefault="006841B2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Alle Mitglieder müssen bei einem Großgewinn sc</w:t>
      </w:r>
      <w:r w:rsidR="00C1383B">
        <w:rPr>
          <w:lang w:val="de-DE"/>
        </w:rPr>
        <w:t>hriftlich zustimmen, bevor die Tippg</w:t>
      </w:r>
      <w:r>
        <w:rPr>
          <w:lang w:val="de-DE"/>
        </w:rPr>
        <w:t>emeinschaft an die Öffentlich</w:t>
      </w:r>
      <w:r w:rsidR="00C1383B">
        <w:rPr>
          <w:lang w:val="de-DE"/>
        </w:rPr>
        <w:t>keit</w:t>
      </w:r>
      <w:r>
        <w:rPr>
          <w:lang w:val="de-DE"/>
        </w:rPr>
        <w:t xml:space="preserve"> geht</w:t>
      </w:r>
      <w:r w:rsidR="00C1383B">
        <w:rPr>
          <w:lang w:val="de-DE"/>
        </w:rPr>
        <w:t>. Bei einem großen Gewinn stimmen alle Mitglieder zu, dass Sie keine Informationen über den Gewinn an Dritte weitergeben, wenn dies zur Identifikation eines Mitglieds führen könnte.</w:t>
      </w:r>
    </w:p>
    <w:p w:rsidR="00C1383B" w:rsidRDefault="00C1383B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Alle Mitglieder dürfen zu jedem Zeitpunkt Einsicht in den Kontostand des Spielfonds erlangen</w:t>
      </w:r>
    </w:p>
    <w:p w:rsidR="00C1383B" w:rsidRDefault="00C1383B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Wenn die Mitgliedzahl sich bis auf ___ Spieler verringert, wird die Tippgemeinschaft aufgelöst und alle Gewinnbeträge werden auf die Mitglieder aufgeteilt.</w:t>
      </w:r>
    </w:p>
    <w:p w:rsidR="00DE1461" w:rsidRDefault="00DE1461" w:rsidP="00DB5C98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Änderungen der Vertragsbestimmungen und Spielregeln müssen einstimmig und unter Anwesenheit aller Mitglieder sowie des Sprechers beschlossen werden.</w:t>
      </w:r>
    </w:p>
    <w:p w:rsidR="00C1383B" w:rsidRPr="00C1383B" w:rsidRDefault="00C1383B" w:rsidP="00C1383B">
      <w:pPr>
        <w:rPr>
          <w:b/>
          <w:lang w:val="de-DE"/>
        </w:rPr>
      </w:pPr>
    </w:p>
    <w:p w:rsidR="00C1383B" w:rsidRPr="00C1383B" w:rsidRDefault="00E273B7" w:rsidP="00C1383B">
      <w:pPr>
        <w:rPr>
          <w:b/>
          <w:lang w:val="de-DE"/>
        </w:rPr>
      </w:pPr>
      <w:r w:rsidRPr="00C1383B">
        <w:rPr>
          <w:b/>
          <w:lang w:val="de-DE"/>
        </w:rPr>
        <w:t>Haftungsausschluss</w:t>
      </w:r>
      <w:r w:rsidR="00C1383B" w:rsidRPr="00C1383B">
        <w:rPr>
          <w:b/>
          <w:lang w:val="de-DE"/>
        </w:rPr>
        <w:t xml:space="preserve">: </w:t>
      </w:r>
      <w:r w:rsidR="00DE1461">
        <w:rPr>
          <w:b/>
          <w:lang w:val="de-DE"/>
        </w:rPr>
        <w:t>Der abgebildete Vertrag ist ein unverbindlicher Mustervertrag</w:t>
      </w:r>
      <w:r w:rsidR="00C1383B" w:rsidRPr="00C1383B">
        <w:rPr>
          <w:b/>
          <w:lang w:val="de-DE"/>
        </w:rPr>
        <w:t>. Euro-jackpot.net trägt keine Verantwortung für die Benutzung dieses Vertrags und ist dadurch ausgeschlossen von Haftungsansprüchen oder andere</w:t>
      </w:r>
      <w:r w:rsidR="00DE1461">
        <w:rPr>
          <w:b/>
          <w:lang w:val="de-DE"/>
        </w:rPr>
        <w:t>n Ansprüchen bei Verlusten der Nutzer</w:t>
      </w:r>
      <w:r w:rsidR="00C1383B" w:rsidRPr="00C1383B">
        <w:rPr>
          <w:b/>
          <w:lang w:val="de-DE"/>
        </w:rPr>
        <w:t xml:space="preserve"> dieses Vertrags.</w:t>
      </w:r>
      <w:r w:rsidR="00DE1461">
        <w:rPr>
          <w:b/>
          <w:lang w:val="de-DE"/>
        </w:rPr>
        <w:t xml:space="preserve"> Die rechtlichen Rahmenbedingungen können sich ändern.</w:t>
      </w:r>
    </w:p>
    <w:sectPr w:rsidR="00C1383B" w:rsidRPr="00C13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E2D"/>
    <w:multiLevelType w:val="hybridMultilevel"/>
    <w:tmpl w:val="D11E2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757F"/>
    <w:multiLevelType w:val="hybridMultilevel"/>
    <w:tmpl w:val="CF081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56AB"/>
    <w:multiLevelType w:val="hybridMultilevel"/>
    <w:tmpl w:val="D11E2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16"/>
    <w:rsid w:val="00042831"/>
    <w:rsid w:val="003909A5"/>
    <w:rsid w:val="0039329D"/>
    <w:rsid w:val="003E540C"/>
    <w:rsid w:val="0042454A"/>
    <w:rsid w:val="004B551B"/>
    <w:rsid w:val="004C0CAB"/>
    <w:rsid w:val="00604D16"/>
    <w:rsid w:val="00667F19"/>
    <w:rsid w:val="006841B2"/>
    <w:rsid w:val="007055DC"/>
    <w:rsid w:val="00887D42"/>
    <w:rsid w:val="00C1383B"/>
    <w:rsid w:val="00D04C93"/>
    <w:rsid w:val="00DB5C98"/>
    <w:rsid w:val="00DE1461"/>
    <w:rsid w:val="00E273B7"/>
    <w:rsid w:val="00E27DB6"/>
    <w:rsid w:val="00E80BF5"/>
    <w:rsid w:val="00EE32CD"/>
    <w:rsid w:val="00F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8EB07-286D-47B9-B285-22B5B104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831"/>
    <w:pPr>
      <w:ind w:left="720"/>
      <w:contextualSpacing/>
    </w:pPr>
  </w:style>
  <w:style w:type="table" w:styleId="TableGrid">
    <w:name w:val="Table Grid"/>
    <w:basedOn w:val="TableNormal"/>
    <w:uiPriority w:val="59"/>
    <w:rsid w:val="003E540C"/>
    <w:pPr>
      <w:spacing w:after="0" w:line="240" w:lineRule="auto"/>
    </w:pPr>
    <w:rPr>
      <w:rFonts w:ascii="Arial" w:eastAsia="Arial" w:hAnsi="Arial" w:cs="Arial"/>
      <w:color w:val="00000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Koensler</dc:creator>
  <cp:keywords/>
  <dc:description/>
  <cp:lastModifiedBy>Andrew Beznosov</cp:lastModifiedBy>
  <cp:revision>11</cp:revision>
  <dcterms:created xsi:type="dcterms:W3CDTF">2016-05-03T10:18:00Z</dcterms:created>
  <dcterms:modified xsi:type="dcterms:W3CDTF">2016-11-09T11:06:00Z</dcterms:modified>
</cp:coreProperties>
</file>