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Pr>
          <w:b/>
          <w:sz w:val="28"/>
          <w:szCs w:val="28"/>
          <w:u w:val="single"/>
        </w:rPr>
        <w:t>Eurojackpot-syndikaattisopimus</w:t>
      </w:r>
    </w:p>
    <w:p w:rsidR="00083FE2" w:rsidRDefault="000E1EB0">
      <w:r>
        <w:rPr>
          <w:sz w:val="24"/>
          <w:szCs w:val="24"/>
        </w:rPr>
        <w:t xml:space="preserve"> </w:t>
      </w:r>
    </w:p>
    <w:p w:rsidR="00083FE2" w:rsidRDefault="000E1EB0">
      <w:r>
        <w:rPr>
          <w:b/>
        </w:rPr>
        <w:t>Syndikaatin johtaja:</w:t>
      </w:r>
      <w:r>
        <w:rPr>
          <w:b/>
          <w:color w:val="FF0000"/>
        </w:rPr>
        <w:t xml:space="preserve"> </w:t>
      </w:r>
    </w:p>
    <w:p w:rsidR="00083FE2" w:rsidRDefault="000E1EB0">
      <w:r>
        <w:rPr>
          <w:b/>
          <w:color w:val="FF0000"/>
        </w:rPr>
        <w:t xml:space="preserve"> </w:t>
      </w:r>
    </w:p>
    <w:p w:rsidR="00083FE2" w:rsidRDefault="000E1EB0">
      <w:r>
        <w:rPr>
          <w:b/>
        </w:rPr>
        <w:t>Yhteystiedot:</w:t>
      </w:r>
    </w:p>
    <w:p w:rsidR="00083FE2" w:rsidRDefault="000E1EB0">
      <w:r>
        <w:rPr>
          <w:sz w:val="24"/>
          <w:szCs w:val="24"/>
        </w:rPr>
        <w:t xml:space="preserve"> </w:t>
      </w:r>
    </w:p>
    <w:p w:rsidR="00083FE2" w:rsidRDefault="000E1EB0">
      <w:r>
        <w:rPr>
          <w:b/>
        </w:rPr>
        <w:t xml:space="preserve">Alkamispäivä:  </w:t>
      </w:r>
      <w:r>
        <w:t xml:space="preserve">                            </w:t>
      </w:r>
      <w:r>
        <w:tab/>
        <w:t xml:space="preserve">         </w:t>
      </w:r>
      <w:r>
        <w:rPr>
          <w:b/>
        </w:rPr>
        <w:t>Päättymispäivä:</w:t>
      </w:r>
    </w:p>
    <w:p w:rsidR="00083FE2" w:rsidRDefault="000E1EB0">
      <w:r>
        <w:rPr>
          <w:sz w:val="24"/>
          <w:szCs w:val="24"/>
        </w:rPr>
        <w:t xml:space="preserve"> </w:t>
      </w:r>
    </w:p>
    <w:p w:rsidR="00083FE2" w:rsidRDefault="000E1EB0">
      <w:r>
        <w:t>Pelaajat [nimet, yhteystiedot, allekirjoitukset, valitut Eurojackpot-numerot (soveltuvin osin)]:</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Nimi</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Yhteystiedot</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Eurojackpot-numerot</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Allekirjoitus</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Syndikaatin jäsenet suostuvat maksamaan </w:t>
      </w:r>
      <w:r>
        <w:rPr>
          <w:b/>
        </w:rPr>
        <w:t xml:space="preserve">_________€ / </w:t>
      </w:r>
      <w:r>
        <w:t>Eurojackpot-arvonta.</w:t>
      </w:r>
    </w:p>
    <w:p w:rsidR="00083FE2" w:rsidRDefault="00083FE2"/>
    <w:p w:rsidR="00083FE2" w:rsidRDefault="000E1EB0">
      <w:pPr>
        <w:numPr>
          <w:ilvl w:val="0"/>
          <w:numId w:val="2"/>
        </w:numPr>
        <w:ind w:hanging="360"/>
        <w:contextualSpacing/>
      </w:pPr>
      <w:r>
        <w:t>Rahat maksetaan kunkin kuukauden alussa ja päätetään niiden arvontojen määrä, johon syndikaatti osallistuu (esim. 8 €, jos on neljä arvontaa kuukaudessa ja 10 €, jos arvontoja on viisi).</w:t>
      </w:r>
    </w:p>
    <w:p w:rsidR="00083FE2" w:rsidRDefault="00083FE2"/>
    <w:p w:rsidR="00083FE2" w:rsidRDefault="000E1EB0">
      <w:pPr>
        <w:numPr>
          <w:ilvl w:val="0"/>
          <w:numId w:val="2"/>
        </w:numPr>
        <w:ind w:hanging="360"/>
        <w:contextualSpacing/>
      </w:pPr>
      <w:r>
        <w:t>Syndikaatin johtaja ostaa kaikki liput etukäteen kuhunkin arvontaan.</w:t>
      </w:r>
    </w:p>
    <w:p w:rsidR="00083FE2" w:rsidRDefault="00083FE2"/>
    <w:p w:rsidR="00083FE2" w:rsidRDefault="000E1EB0">
      <w:pPr>
        <w:numPr>
          <w:ilvl w:val="0"/>
          <w:numId w:val="2"/>
        </w:numPr>
        <w:ind w:hanging="360"/>
        <w:contextualSpacing/>
      </w:pPr>
      <w:r>
        <w:t xml:space="preserve">Jos jäsen ei ole maksanut osuuttaan ennen lippujen ostoa [hänen osallistumisensa pelaamiseen sallitaan jatkuvan ja hänen maksunsa maksetaan olettaen, että hän maksaa ensimmäisen tilaisuuden tullen] </w:t>
      </w:r>
      <w:r>
        <w:rPr>
          <w:b/>
        </w:rPr>
        <w:t>TAI</w:t>
      </w:r>
      <w:r>
        <w:t xml:space="preserve"> [hän ei saa voittoja arvonnasta/arvonnoista, johon/joihin hän ei ole osallistunut rahallisesti etukäteen, ja rahat jaetaan syndikaatin jäljellä olevien jäsenten kesken].</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 xml:space="preserve">[Kukin syndikaatin jäsen valitsee pelattavien numeroiden rivin kuhunkin arvontaan. </w:t>
      </w:r>
      <w:r>
        <w:t xml:space="preserve">Ymmärretään ja hyväksytään, että voitot hyödyttävät kaikkia jäseniä riippumatta siitä, mikä rivi / mitkä rivit voittavat] </w:t>
      </w:r>
      <w:r>
        <w:rPr>
          <w:b/>
        </w:rPr>
        <w:t>TAI</w:t>
      </w:r>
      <w:r>
        <w:rPr>
          <w:highlight w:val="yellow"/>
        </w:rPr>
        <w:t>[Eurojackpot-numerot valitaan käyttäen pikavalintavaihtoehtoa]</w:t>
      </w:r>
    </w:p>
    <w:p w:rsidR="00083FE2" w:rsidRDefault="00083FE2"/>
    <w:p w:rsidR="00083FE2" w:rsidRDefault="000E1EB0">
      <w:pPr>
        <w:numPr>
          <w:ilvl w:val="0"/>
          <w:numId w:val="2"/>
        </w:numPr>
        <w:ind w:hanging="360"/>
        <w:contextualSpacing/>
      </w:pPr>
      <w:r>
        <w:t xml:space="preserve">Syndikaatin johtaja ostaa arvontaliput [valtuutetulta vähittäismyyjältä] </w:t>
      </w:r>
      <w:r>
        <w:rPr>
          <w:b/>
        </w:rPr>
        <w:t>TAI</w:t>
      </w:r>
      <w:r>
        <w:t xml:space="preserve"> </w:t>
      </w:r>
      <w:r>
        <w:rPr>
          <w:highlight w:val="yellow"/>
        </w:rPr>
        <w:t>[verkossa]</w:t>
      </w:r>
      <w:r>
        <w:t>.</w:t>
      </w:r>
    </w:p>
    <w:p w:rsidR="00083FE2" w:rsidRDefault="00083FE2"/>
    <w:p w:rsidR="00083FE2" w:rsidRDefault="000E1EB0">
      <w:pPr>
        <w:numPr>
          <w:ilvl w:val="0"/>
          <w:numId w:val="2"/>
        </w:numPr>
        <w:ind w:hanging="360"/>
        <w:contextualSpacing/>
      </w:pPr>
      <w:r>
        <w:t>Toinen syndikaatin jäsen tarkistaa riippumattomasti kaikki liput kunkin arvonnan jälkeen.</w:t>
      </w:r>
    </w:p>
    <w:p w:rsidR="00083FE2" w:rsidRDefault="00083FE2"/>
    <w:p w:rsidR="00083FE2" w:rsidRDefault="000E1EB0">
      <w:pPr>
        <w:numPr>
          <w:ilvl w:val="0"/>
          <w:numId w:val="2"/>
        </w:numPr>
        <w:ind w:hanging="360"/>
        <w:contextualSpacing/>
      </w:pPr>
      <w:r>
        <w:t>Syndikaatin jäsenet osallistuvat vähimmäisajan ______ kuukautta, alkaen ja päättyen määritettyinä päivinä.</w:t>
      </w:r>
    </w:p>
    <w:p w:rsidR="00083FE2" w:rsidRDefault="00083FE2"/>
    <w:p w:rsidR="00083FE2" w:rsidRDefault="000E1EB0">
      <w:pPr>
        <w:numPr>
          <w:ilvl w:val="0"/>
          <w:numId w:val="2"/>
        </w:numPr>
        <w:ind w:hanging="360"/>
        <w:contextualSpacing/>
      </w:pPr>
      <w:r>
        <w:t xml:space="preserve"> _______ kuukauden aikajakson päättyessä kaikki syndikaatin jäsenet saavat saman osuuden kerääntyneistä voitoista. Ainoa poikkeus on siinä tapauksessa, että voitot ovat vähintään </w:t>
      </w:r>
      <w:r>
        <w:rPr>
          <w:b/>
        </w:rPr>
        <w:t xml:space="preserve">_______€ </w:t>
      </w:r>
      <w:r>
        <w:t>jäsentä kohden, jolloin rahat maksetaan välittömästi ensimmäisenä mahdollisena ajankohtana.</w:t>
      </w:r>
    </w:p>
    <w:p w:rsidR="00083FE2" w:rsidRDefault="00083FE2"/>
    <w:p w:rsidR="00083FE2" w:rsidRDefault="000E1EB0">
      <w:pPr>
        <w:numPr>
          <w:ilvl w:val="0"/>
          <w:numId w:val="2"/>
        </w:numPr>
        <w:ind w:hanging="360"/>
        <w:contextualSpacing/>
      </w:pPr>
      <w:r>
        <w:t xml:space="preserve">Syndikaatin johtaja hyväksyy, että hänellä on laillinen velvollisuus siirtää kaikki voitot suoraan </w:t>
      </w:r>
      <w:r>
        <w:rPr>
          <w:highlight w:val="yellow"/>
        </w:rPr>
        <w:t>[syndikaatin jäsenille]</w:t>
      </w:r>
      <w:r>
        <w:t xml:space="preserve"> </w:t>
      </w:r>
      <w:r>
        <w:rPr>
          <w:b/>
        </w:rPr>
        <w:t>TAI</w:t>
      </w:r>
      <w:r>
        <w:t xml:space="preserve"> </w:t>
      </w:r>
      <w:r>
        <w:rPr>
          <w:highlight w:val="yellow"/>
        </w:rPr>
        <w:t>[syndikaatin yleiseen rahastoon]</w:t>
      </w:r>
      <w:r>
        <w:t xml:space="preserve"> sovittuna aikana.</w:t>
      </w:r>
    </w:p>
    <w:p w:rsidR="00083FE2" w:rsidRDefault="00083FE2"/>
    <w:p w:rsidR="00083FE2" w:rsidRDefault="000E1EB0">
      <w:pPr>
        <w:numPr>
          <w:ilvl w:val="0"/>
          <w:numId w:val="2"/>
        </w:numPr>
        <w:ind w:hanging="360"/>
        <w:contextualSpacing/>
      </w:pPr>
      <w:r>
        <w:t>Jos syndikaatin jäsenen on jätettävä syndikaatti olosuhteiden muutoksesta johtuen, hän saa voitoista osuuden, joka hänelle kuuluu hänen eroamisajankohtanaan. Hän saa myös takaisin rahansa lippumaksuista, jotka on tehty etukäteen tuleviin arvontoihin, joihin hän ei osallistu syndikaatin jäsenenä. Tästä eteenpäin voitot jaetaan syndikaatin jäljellä olevien jäsenten kesken, ja poistuva jäsen hyväksyy, että hänellä ei ole mitään oikeutta voittoihin syndikaatista eroamisen jälkeen.</w:t>
      </w:r>
    </w:p>
    <w:p w:rsidR="00083FE2" w:rsidRDefault="00083FE2"/>
    <w:p w:rsidR="00083FE2" w:rsidRDefault="000E1EB0">
      <w:pPr>
        <w:numPr>
          <w:ilvl w:val="0"/>
          <w:numId w:val="2"/>
        </w:numPr>
        <w:ind w:hanging="360"/>
        <w:contextualSpacing/>
      </w:pPr>
      <w:r>
        <w:t xml:space="preserve">Syndikaatti voi ostaa lisälippuja erityisarvontoihin tapauskohtaisesti edellyttäen </w:t>
      </w:r>
      <w:r>
        <w:rPr>
          <w:highlight w:val="yellow"/>
        </w:rPr>
        <w:t>[kaikkien</w:t>
      </w:r>
      <w:r>
        <w:t xml:space="preserve"> jäsenten] </w:t>
      </w:r>
      <w:r>
        <w:rPr>
          <w:b/>
        </w:rPr>
        <w:t xml:space="preserve">TAI </w:t>
      </w:r>
      <w:r>
        <w:rPr>
          <w:highlight w:val="yellow"/>
        </w:rPr>
        <w:t>[jäsenten enemmistön]</w:t>
      </w:r>
      <w:r>
        <w:t xml:space="preserve"> sopimusta.</w:t>
      </w:r>
    </w:p>
    <w:p w:rsidR="00083FE2" w:rsidRDefault="00083FE2"/>
    <w:p w:rsidR="00083FE2" w:rsidRDefault="000E1EB0">
      <w:pPr>
        <w:numPr>
          <w:ilvl w:val="0"/>
          <w:numId w:val="2"/>
        </w:numPr>
        <w:ind w:hanging="360"/>
        <w:contextualSpacing/>
      </w:pPr>
      <w:r>
        <w:t>Kaikkien syndikaatin jäsenten on sovittava kirjallisesti ennen päätöksen tekoa koskien huomattavan voiton tietojen julkaisemista. Syndikaatin jäsenet hyväksyvät myös, ettei tietoja huomattavasta voitosta anneta kolmannelle osapuolelle, jos tällainen julkistaminen voisi johtaa jonkun syndikaatin jäsenen, syndikaatin jäsenen perheenjäsenen tai heidän työnantajansa tunnistamiseen.</w:t>
      </w:r>
    </w:p>
    <w:p w:rsidR="00083FE2" w:rsidRDefault="00083FE2"/>
    <w:p w:rsidR="00083FE2" w:rsidRDefault="000E1EB0">
      <w:pPr>
        <w:numPr>
          <w:ilvl w:val="0"/>
          <w:numId w:val="2"/>
        </w:numPr>
        <w:ind w:hanging="360"/>
        <w:contextualSpacing/>
      </w:pPr>
      <w:r>
        <w:t>Kuka tahansa syndikaatin jäsen voi pyytää tiedot syndikaatin varojen saldosta milloin tahansa.</w:t>
      </w:r>
    </w:p>
    <w:p w:rsidR="00083FE2" w:rsidRDefault="00083FE2"/>
    <w:p w:rsidR="00083FE2" w:rsidRDefault="000E1EB0">
      <w:pPr>
        <w:numPr>
          <w:ilvl w:val="0"/>
          <w:numId w:val="2"/>
        </w:numPr>
        <w:ind w:hanging="360"/>
        <w:contextualSpacing/>
      </w:pPr>
      <w:r>
        <w:t>Syndikaatti puretaan, jos jäsenten määrä laskee alle ____ pelaajaan. Tällöin kaikki voitot jaetaan tasan syndikaatin jäsenten kesken.</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
        <w:rPr>
          <w:b/>
          <w:sz w:val="20"/>
          <w:szCs w:val="20"/>
        </w:rPr>
        <w:lastRenderedPageBreak/>
        <w:t>VASTUUVAPAUSLAUSEKE: Tämä syndikaattisopimusesimerkki on VAIN informaatiotarkoituksiin, ja Eurojackpot.net ei hyväksy mitään vastuuta tai velvoitteita sopimusesimerkin käytöstä aiheutuneista menetyksistä, esimerkin mistään osasta tai esimerkistä kokonaisuudessaan.</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27661"/>
    <w:rsid w:val="002E3CD9"/>
    <w:rsid w:val="003E19F1"/>
    <w:rsid w:val="00551FCE"/>
    <w:rsid w:val="00774858"/>
    <w:rsid w:val="008B709B"/>
    <w:rsid w:val="00A57C90"/>
    <w:rsid w:val="00AD5EBA"/>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DD7CC-C66A-42BA-9DCB-986D8CEA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i-FI"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2016-11-09T11:08:00Z</dcterms:modified>
</cp:coreProperties>
</file>